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64764" w:rsidTr="00B6476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6476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64764" w:rsidRDefault="00B64764">
                  <w:pPr>
                    <w:spacing w:line="360" w:lineRule="auto"/>
                  </w:pPr>
                  <w:r>
                    <w:rPr>
                      <w:rFonts w:ascii="Arial" w:hAnsi="Arial" w:cs="Arial"/>
                      <w:noProof/>
                      <w:color w:val="000000"/>
                    </w:rPr>
                    <w:drawing>
                      <wp:inline distT="0" distB="0" distL="0" distR="0">
                        <wp:extent cx="5715000" cy="3238500"/>
                        <wp:effectExtent l="0" t="0" r="0" b="0"/>
                        <wp:docPr id="42" name="Afbeelding 42" descr="ese_news_staff_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ese_news_staff_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3238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64764" w:rsidRDefault="00B647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4764" w:rsidTr="00B6476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2"/>
              <w:gridCol w:w="7717"/>
              <w:gridCol w:w="641"/>
            </w:tblGrid>
            <w:tr w:rsidR="00B64764">
              <w:trPr>
                <w:tblCellSpacing w:w="0" w:type="dxa"/>
                <w:jc w:val="center"/>
              </w:trPr>
              <w:tc>
                <w:tcPr>
                  <w:tcW w:w="675" w:type="dxa"/>
                  <w:vAlign w:val="center"/>
                  <w:hideMark/>
                </w:tcPr>
                <w:p w:rsidR="00B64764" w:rsidRDefault="00B6476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0" w:type="dxa"/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17"/>
                  </w:tblGrid>
                  <w:tr w:rsidR="00B64764">
                    <w:trPr>
                      <w:trHeight w:val="6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64764" w:rsidRDefault="00B64764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6476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B64764" w:rsidRDefault="00B64764">
                        <w:pPr>
                          <w:pStyle w:val="Kop1"/>
                          <w:spacing w:line="360" w:lineRule="auto"/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UpdaTE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&gt;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July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2019</w:t>
                        </w:r>
                      </w:p>
                      <w:p w:rsidR="00B64764" w:rsidRDefault="00B64764">
                        <w:pPr>
                          <w:pStyle w:val="Normaalweb"/>
                          <w:spacing w:line="360" w:lineRule="auto"/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This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bulletin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aims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to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supply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all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employees of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the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department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Applied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Economics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with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relevant information. We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will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keep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you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up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to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date on procedures,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interesting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information and events.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If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you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have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any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questions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or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comments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, or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if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you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would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like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to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post information,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please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contact Manuela </w:t>
                        </w:r>
                        <w:hyperlink r:id="rId7" w:tgtFrame="_blank" w:history="1">
                          <w:r>
                            <w:rPr>
                              <w:rStyle w:val="Hyperlink"/>
                              <w:b/>
                              <w:bCs/>
                              <w:sz w:val="18"/>
                              <w:szCs w:val="18"/>
                            </w:rPr>
                            <w:t>(ettekoven@ese.eur.nl</w:t>
                          </w:r>
                        </w:hyperlink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).</w:t>
                        </w:r>
                      </w:p>
                      <w:p w:rsidR="00B64764" w:rsidRDefault="00B64764">
                        <w:pPr>
                          <w:pStyle w:val="Normaalweb"/>
                          <w:spacing w:line="360" w:lineRule="auto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4857750" cy="409575"/>
                              <wp:effectExtent l="0" t="0" r="0" b="9525"/>
                              <wp:docPr id="41" name="Afbeelding 41" descr="dot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" descr="dot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r:link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57750" cy="409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64764" w:rsidRDefault="00B64764">
                        <w:pPr>
                          <w:pStyle w:val="Kop2"/>
                          <w:spacing w:line="360" w:lineRule="auto"/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UpdaTE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also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on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the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intranet</w:t>
                        </w:r>
                      </w:p>
                      <w:p w:rsidR="00B64764" w:rsidRDefault="00B64764">
                        <w:pPr>
                          <w:spacing w:line="360" w:lineRule="auto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From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now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on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you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can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also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find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our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newsletter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UpdaTE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) on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the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website. Click </w:t>
                        </w:r>
                        <w:hyperlink r:id="rId10" w:tgtFrame="_blank" w:history="1">
                          <w:r>
                            <w:rPr>
                              <w:rStyle w:val="Hyperlink"/>
                              <w:sz w:val="18"/>
                              <w:szCs w:val="18"/>
                            </w:rPr>
                            <w:t>here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to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go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to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the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website.</w:t>
                        </w:r>
                      </w:p>
                      <w:p w:rsidR="00B64764" w:rsidRDefault="00B64764">
                        <w:pPr>
                          <w:spacing w:line="36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857750" cy="409575"/>
                              <wp:effectExtent l="0" t="0" r="0" b="9525"/>
                              <wp:docPr id="40" name="Afbeelding 40" descr="dot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" descr="dot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r:link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57750" cy="409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64764" w:rsidRDefault="00B64764">
                        <w:pPr>
                          <w:pStyle w:val="Kop2"/>
                          <w:spacing w:line="36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Publications/interviews of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our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colleagues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  <w:p w:rsidR="00B64764" w:rsidRDefault="00B64764">
                        <w:pPr>
                          <w:spacing w:line="360" w:lineRule="auto"/>
                        </w:pP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Please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let Manuela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know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when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you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have a new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publication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, interview or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something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else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you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want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to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share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with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your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colleagues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.  </w:t>
                        </w:r>
                      </w:p>
                      <w:p w:rsidR="00B64764" w:rsidRDefault="00B64764">
                        <w:pPr>
                          <w:pStyle w:val="Lijstalinea"/>
                          <w:spacing w:line="360" w:lineRule="auto"/>
                          <w:ind w:hanging="360"/>
                        </w:pPr>
                        <w:r>
                          <w:rPr>
                            <w:rFonts w:ascii="Symbol" w:hAnsi="Symbol"/>
                            <w:color w:val="000000"/>
                            <w:sz w:val="20"/>
                            <w:szCs w:val="20"/>
                          </w:rPr>
                          <w:t></w:t>
                        </w:r>
                        <w:r>
                          <w:rPr>
                            <w:color w:val="000000"/>
                            <w:sz w:val="14"/>
                            <w:szCs w:val="14"/>
                          </w:rPr>
                          <w:t xml:space="preserve">         </w:t>
                        </w:r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Bernoster, I., De Groot, K.,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Wieser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, M. J.,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Thurik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, R., &amp; Franken, I. H. (2019).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Birds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of a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feather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flock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together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evidence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of prominent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correlations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within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but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not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between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self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-report,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behavioral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, and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electrophysiological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measures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impulsivity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Biological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psychology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, 145, 112-123.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hyperlink r:id="rId11" w:tgtFrame="_blank" w:history="1">
                          <w:r>
                            <w:rPr>
                              <w:rStyle w:val="Hyperlink"/>
                              <w:sz w:val="18"/>
                              <w:szCs w:val="18"/>
                            </w:rPr>
                            <w:t>https://doi.org/10.1016/j.biopsycho.2019.04.008</w:t>
                          </w:r>
                        </w:hyperlink>
                      </w:p>
                      <w:p w:rsidR="00B64764" w:rsidRDefault="00B64764">
                        <w:pPr>
                          <w:pStyle w:val="Lijstalinea"/>
                          <w:spacing w:line="360" w:lineRule="auto"/>
                          <w:ind w:hanging="360"/>
                        </w:pPr>
                        <w:r>
                          <w:rPr>
                            <w:rStyle w:val="Hyperlink"/>
                            <w:rFonts w:ascii="Symbol" w:hAnsi="Symbol"/>
                            <w:sz w:val="20"/>
                            <w:szCs w:val="20"/>
                          </w:rPr>
                          <w:lastRenderedPageBreak/>
                          <w:t></w:t>
                        </w:r>
                        <w:r>
                          <w:rPr>
                            <w:rStyle w:val="Hyperlink"/>
                            <w:sz w:val="14"/>
                            <w:szCs w:val="14"/>
                          </w:rPr>
                          <w:t xml:space="preserve">         </w:t>
                        </w:r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De Groot, K., &amp; Van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Strien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, J. W. (2019). Event</w:t>
                        </w:r>
                        <w:r>
                          <w:rPr>
                            <w:rStyle w:val="Hyperlink"/>
                            <w:rFonts w:ascii="Cambria Math" w:hAnsi="Cambria Math"/>
                            <w:color w:val="auto"/>
                            <w:sz w:val="18"/>
                            <w:szCs w:val="18"/>
                          </w:rPr>
                          <w:t>‐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related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potentials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in response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to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feedback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following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risk</w:t>
                        </w:r>
                        <w:r>
                          <w:rPr>
                            <w:rStyle w:val="Hyperlink"/>
                            <w:rFonts w:ascii="Cambria Math" w:hAnsi="Cambria Math"/>
                            <w:color w:val="auto"/>
                            <w:sz w:val="18"/>
                            <w:szCs w:val="18"/>
                          </w:rPr>
                          <w:t>‐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taking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in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the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hot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version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the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Columbia Card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Task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Psychophysiology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, e13390.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hyperlink r:id="rId12" w:tgtFrame="_blank" w:history="1">
                          <w:r>
                            <w:rPr>
                              <w:rStyle w:val="Hyperlink"/>
                              <w:sz w:val="18"/>
                              <w:szCs w:val="18"/>
                            </w:rPr>
                            <w:t>https://doi.org/10.1111/psyp.13390</w:t>
                          </w:r>
                        </w:hyperlink>
                      </w:p>
                      <w:p w:rsidR="00B64764" w:rsidRDefault="00B64764">
                        <w:pPr>
                          <w:pStyle w:val="Lijstalinea"/>
                          <w:spacing w:line="360" w:lineRule="auto"/>
                          <w:ind w:hanging="360"/>
                        </w:pPr>
                        <w:r>
                          <w:rPr>
                            <w:rStyle w:val="Hyperlink"/>
                            <w:rFonts w:ascii="Symbol" w:hAnsi="Symbol"/>
                            <w:color w:val="auto"/>
                            <w:sz w:val="20"/>
                            <w:szCs w:val="20"/>
                          </w:rPr>
                          <w:t></w:t>
                        </w:r>
                        <w:r>
                          <w:rPr>
                            <w:rStyle w:val="Hyperlink"/>
                            <w:color w:val="auto"/>
                            <w:sz w:val="14"/>
                            <w:szCs w:val="14"/>
                          </w:rPr>
                          <w:t xml:space="preserve">         </w:t>
                        </w:r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Van Oort, F.G. (2019), Report of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the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JPI Urban Europe-project “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Resilient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Cites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”. </w:t>
                        </w:r>
                        <w:hyperlink r:id="rId13" w:tgtFrame="_blank" w:history="1">
                          <w:r>
                            <w:rPr>
                              <w:rStyle w:val="Hyperlink"/>
                              <w:sz w:val="18"/>
                              <w:szCs w:val="18"/>
                            </w:rPr>
                            <w:t>https://urbaneurope.verdus.nl/de-economische-veerkracht-van-steden</w:t>
                          </w:r>
                        </w:hyperlink>
                      </w:p>
                      <w:p w:rsidR="00B64764" w:rsidRDefault="00B64764">
                        <w:pPr>
                          <w:pStyle w:val="Lijstalinea"/>
                          <w:spacing w:line="360" w:lineRule="auto"/>
                          <w:ind w:hanging="360"/>
                        </w:pPr>
                        <w:r>
                          <w:rPr>
                            <w:rStyle w:val="Hyperlink"/>
                            <w:rFonts w:ascii="Symbol" w:hAnsi="Symbol"/>
                            <w:color w:val="auto"/>
                            <w:sz w:val="20"/>
                            <w:szCs w:val="20"/>
                          </w:rPr>
                          <w:t></w:t>
                        </w:r>
                        <w:r>
                          <w:rPr>
                            <w:rStyle w:val="Hyperlink"/>
                            <w:color w:val="auto"/>
                            <w:sz w:val="14"/>
                            <w:szCs w:val="14"/>
                          </w:rPr>
                          <w:t xml:space="preserve">        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Phlippen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, S.M.W. (20190716).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Women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less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willing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to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travel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far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for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work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than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men.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Publication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in Algemeen Dagblad. </w:t>
                        </w:r>
                        <w:hyperlink r:id="rId14" w:tgtFrame="_blank" w:history="1">
                          <w:r>
                            <w:rPr>
                              <w:rStyle w:val="Hyperlink"/>
                              <w:sz w:val="18"/>
                              <w:szCs w:val="18"/>
                            </w:rPr>
                            <w:t>https://www.eur.nl/en/ese/news/women-less-willing-travel-far-work-men</w:t>
                          </w:r>
                        </w:hyperlink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B64764" w:rsidRDefault="00B64764">
                        <w:pPr>
                          <w:pStyle w:val="Lijstalinea"/>
                          <w:spacing w:line="360" w:lineRule="auto"/>
                          <w:ind w:hanging="360"/>
                        </w:pPr>
                        <w:r>
                          <w:rPr>
                            <w:rStyle w:val="Hyperlink"/>
                            <w:rFonts w:ascii="Symbol" w:hAnsi="Symbol"/>
                            <w:color w:val="auto"/>
                            <w:sz w:val="20"/>
                            <w:szCs w:val="20"/>
                          </w:rPr>
                          <w:t></w:t>
                        </w:r>
                        <w:r>
                          <w:rPr>
                            <w:rStyle w:val="Hyperlink"/>
                            <w:color w:val="auto"/>
                            <w:sz w:val="14"/>
                            <w:szCs w:val="14"/>
                          </w:rPr>
                          <w:t xml:space="preserve">         </w:t>
                        </w:r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Peeters, T.L.P.R. (20190704).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Increasing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popularity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women’s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football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Publication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in De Morgen. </w:t>
                        </w:r>
                        <w:hyperlink r:id="rId15" w:tgtFrame="_blank" w:history="1">
                          <w:r>
                            <w:rPr>
                              <w:rStyle w:val="Hyperlink"/>
                              <w:sz w:val="18"/>
                              <w:szCs w:val="18"/>
                            </w:rPr>
                            <w:t>https://www.eur.nl/en/ese/news/increasing-popularity-womens-football</w:t>
                          </w:r>
                        </w:hyperlink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B64764" w:rsidRDefault="00B64764">
                        <w:pPr>
                          <w:pStyle w:val="Lijstalinea"/>
                          <w:spacing w:line="360" w:lineRule="auto"/>
                          <w:ind w:hanging="360"/>
                        </w:pPr>
                        <w:r>
                          <w:rPr>
                            <w:rStyle w:val="Hyperlink"/>
                            <w:rFonts w:ascii="Symbol" w:hAnsi="Symbol"/>
                            <w:color w:val="auto"/>
                            <w:sz w:val="20"/>
                            <w:szCs w:val="20"/>
                          </w:rPr>
                          <w:t></w:t>
                        </w:r>
                        <w:r>
                          <w:rPr>
                            <w:rStyle w:val="Hyperlink"/>
                            <w:color w:val="auto"/>
                            <w:sz w:val="14"/>
                            <w:szCs w:val="14"/>
                          </w:rPr>
                          <w:t xml:space="preserve">        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Phlippen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, S.M.W. (20190702).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Vestager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stand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for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everything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that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irritates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Trump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Publication</w:t>
                        </w:r>
                        <w:proofErr w:type="spellEnd"/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in Algemeen Dagblad. </w:t>
                        </w:r>
                        <w:hyperlink r:id="rId16" w:tgtFrame="_blank" w:history="1">
                          <w:r>
                            <w:rPr>
                              <w:rStyle w:val="Hyperlink"/>
                              <w:sz w:val="18"/>
                              <w:szCs w:val="18"/>
                            </w:rPr>
                            <w:t>https://www.eur.nl/en/ese/news/verstager-stands-everything-irritates-trump</w:t>
                          </w:r>
                        </w:hyperlink>
                        <w:r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B64764" w:rsidRDefault="00B64764">
                        <w:pPr>
                          <w:pStyle w:val="Kop2"/>
                          <w:spacing w:line="36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4857750" cy="409575"/>
                              <wp:effectExtent l="0" t="0" r="0" b="9525"/>
                              <wp:docPr id="39" name="Afbeelding 39" descr="dot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" descr="dot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r:link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57750" cy="409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64764" w:rsidRDefault="00B64764">
                        <w:pPr>
                          <w:pStyle w:val="Kop2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Desktop computers in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lecture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rooms are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switching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to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Office 365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ProPlus</w:t>
                        </w:r>
                        <w:proofErr w:type="spellEnd"/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04"/>
                          <w:gridCol w:w="4813"/>
                        </w:tblGrid>
                        <w:tr w:rsidR="00B64764">
                          <w:trPr>
                            <w:tblCellSpacing w:w="0" w:type="dxa"/>
                          </w:trPr>
                          <w:tc>
                            <w:tcPr>
                              <w:tcW w:w="2715" w:type="dxa"/>
                              <w:hideMark/>
                            </w:tcPr>
                            <w:p w:rsidR="00B64764" w:rsidRDefault="00B64764">
                              <w:pPr>
                                <w:spacing w:line="330" w:lineRule="atLeast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666875" cy="1666875"/>
                                    <wp:effectExtent l="0" t="0" r="9525" b="9525"/>
                                    <wp:docPr id="38" name="Afbeelding 38" descr="https://gallery.mailchimp.com/e3805dd0c5dd8424791f80317/images/ef79300a-776e-4790-8f15-0bef1d5eb988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3" descr="https://gallery.mailchimp.com/e3805dd0c5dd8424791f80317/images/ef79300a-776e-4790-8f15-0bef1d5eb988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 r:link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66875" cy="1666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500" w:type="dxa"/>
                              <w:hideMark/>
                            </w:tcPr>
                            <w:p w:rsidR="00B64764" w:rsidRDefault="00B64764">
                              <w:pPr>
                                <w:spacing w:line="330" w:lineRule="atLeast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This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summer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all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student and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lecturer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desktop computers in EUR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lecture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rooms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will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be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equipped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with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Office 365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ProPlus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This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means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that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from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coming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academic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year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, a new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version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of Word, Excel, Outlook, PowerPoint, OneNote, Access, Publisher and InfoPath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will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be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installed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on these desktop computers.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9" w:tgtFrame="_blank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Read more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B64764" w:rsidRDefault="00B64764">
                        <w:pPr>
                          <w:pStyle w:val="Kop1"/>
                          <w:shd w:val="clear" w:color="auto" w:fill="FFFFFF"/>
                          <w:spacing w:line="240" w:lineRule="auto"/>
                          <w:rPr>
                            <w:rFonts w:eastAsia="Times New Roman"/>
                            <w:color w:val="auto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4857750" cy="409575"/>
                              <wp:effectExtent l="0" t="0" r="0" b="9525"/>
                              <wp:docPr id="37" name="Afbeelding 37" descr="dot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2" descr="dot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r:link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57750" cy="409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64764" w:rsidRDefault="00B64764">
                        <w:pPr>
                          <w:pStyle w:val="Kop1"/>
                          <w:shd w:val="clear" w:color="auto" w:fill="FFFFFF"/>
                          <w:spacing w:line="24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Clean desk policy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04"/>
                          <w:gridCol w:w="4813"/>
                        </w:tblGrid>
                        <w:tr w:rsidR="00B64764">
                          <w:trPr>
                            <w:tblCellSpacing w:w="0" w:type="dxa"/>
                          </w:trPr>
                          <w:tc>
                            <w:tcPr>
                              <w:tcW w:w="2879" w:type="dxa"/>
                              <w:hideMark/>
                            </w:tcPr>
                            <w:p w:rsidR="00B64764" w:rsidRDefault="00B64764">
                              <w:pPr>
                                <w:spacing w:line="330" w:lineRule="atLeast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:rsidR="00B64764" w:rsidRDefault="00B64764">
                              <w:pPr>
                                <w:spacing w:line="33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695450" cy="1133475"/>
                                    <wp:effectExtent l="0" t="0" r="0" b="9525"/>
                                    <wp:docPr id="36" name="Afbeelding 36" descr="cid:image004.jpg@01D5412C.4222C8C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1" descr="cid:image004.jpg@01D5412C.4222C8C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 r:link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95450" cy="11334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771" w:type="dxa"/>
                              <w:hideMark/>
                            </w:tcPr>
                            <w:p w:rsidR="00B64764" w:rsidRDefault="00B64764">
                              <w:pPr>
                                <w:spacing w:line="330" w:lineRule="atLeast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Due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shortage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of rooms we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sometimes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are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forced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use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your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office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guest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So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when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you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are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not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in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your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office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a few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days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, make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sure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your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office has a clean desk and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that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all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your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documents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are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stored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in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closed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cupboards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This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is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necessary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because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of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General Data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Protection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Regulation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(AVG in Dutch).</w:t>
                              </w:r>
                            </w:p>
                          </w:tc>
                        </w:tr>
                      </w:tbl>
                      <w:p w:rsidR="00B64764" w:rsidRDefault="00B64764">
                        <w:pPr>
                          <w:pStyle w:val="Kop2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4857750" cy="409575"/>
                              <wp:effectExtent l="0" t="0" r="0" b="9525"/>
                              <wp:docPr id="35" name="Afbeelding 35" descr="dot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" descr="dot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r:link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57750" cy="409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Toilets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N-building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04"/>
                          <w:gridCol w:w="4813"/>
                        </w:tblGrid>
                        <w:tr w:rsidR="00B64764">
                          <w:trPr>
                            <w:tblCellSpacing w:w="0" w:type="dxa"/>
                          </w:trPr>
                          <w:tc>
                            <w:tcPr>
                              <w:tcW w:w="2715" w:type="dxa"/>
                              <w:hideMark/>
                            </w:tcPr>
                            <w:p w:rsidR="00B64764" w:rsidRDefault="00B64764">
                              <w:pPr>
                                <w:spacing w:line="330" w:lineRule="atLeast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1543050" cy="1543050"/>
                                    <wp:effectExtent l="0" t="0" r="0" b="0"/>
                                    <wp:docPr id="34" name="Afbeelding 34" descr="Toilet.jp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9" descr="Toilet.jp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 r:link="rId2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43050" cy="1543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500" w:type="dxa"/>
                              <w:hideMark/>
                            </w:tcPr>
                            <w:p w:rsidR="00B64764" w:rsidRDefault="00B64764">
                              <w:pPr>
                                <w:spacing w:line="360" w:lineRule="auto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As of next week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there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will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be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a change in man/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women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toilets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. The changes are:</w:t>
                              </w:r>
                            </w:p>
                            <w:p w:rsidR="00B64764" w:rsidRDefault="00B64764">
                              <w:pPr>
                                <w:pStyle w:val="Lijstalinea"/>
                                <w:spacing w:line="360" w:lineRule="auto"/>
                                <w:ind w:left="360" w:hanging="360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1.</w:t>
                              </w:r>
                              <w:r>
                                <w:rPr>
                                  <w:color w:val="000000"/>
                                  <w:sz w:val="14"/>
                                  <w:szCs w:val="14"/>
                                </w:rPr>
                                <w:t xml:space="preserve">    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On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2nd and 5th floor we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will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get 2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toilets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women</w:t>
                              </w:r>
                              <w:proofErr w:type="spellEnd"/>
                            </w:p>
                            <w:p w:rsidR="00B64764" w:rsidRDefault="00B64764">
                              <w:pPr>
                                <w:pStyle w:val="Lijstalinea"/>
                                <w:spacing w:line="360" w:lineRule="auto"/>
                                <w:ind w:left="360" w:hanging="360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color w:val="000000"/>
                                  <w:sz w:val="14"/>
                                  <w:szCs w:val="14"/>
                                </w:rPr>
                                <w:t xml:space="preserve">    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On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1st and 4th floor we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will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get 2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toilets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men</w:t>
                              </w:r>
                            </w:p>
                            <w:p w:rsidR="00B64764" w:rsidRDefault="00B64764">
                              <w:pPr>
                                <w:pStyle w:val="Lijstalinea"/>
                                <w:spacing w:line="360" w:lineRule="auto"/>
                                <w:ind w:left="360" w:hanging="360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3.</w:t>
                              </w:r>
                              <w:r>
                                <w:rPr>
                                  <w:color w:val="000000"/>
                                  <w:sz w:val="14"/>
                                  <w:szCs w:val="14"/>
                                </w:rPr>
                                <w:t xml:space="preserve">    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On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3rd floor we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will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get 2 gender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neutral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toilets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B64764" w:rsidRDefault="00B64764">
                              <w:pPr>
                                <w:pStyle w:val="Lijstalinea"/>
                                <w:spacing w:line="360" w:lineRule="auto"/>
                                <w:ind w:left="360" w:hanging="360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4.</w:t>
                              </w:r>
                              <w:r>
                                <w:rPr>
                                  <w:color w:val="000000"/>
                                  <w:sz w:val="14"/>
                                  <w:szCs w:val="14"/>
                                </w:rPr>
                                <w:t xml:space="preserve">    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On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ground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floor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there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will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be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no changes,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this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means 1 toilet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men and 1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women</w:t>
                              </w:r>
                              <w:proofErr w:type="spellEnd"/>
                            </w:p>
                          </w:tc>
                        </w:tr>
                      </w:tbl>
                      <w:p w:rsidR="00B64764" w:rsidRDefault="00B64764">
                        <w:pPr>
                          <w:pStyle w:val="Kop2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4857750" cy="409575"/>
                              <wp:effectExtent l="0" t="0" r="0" b="9525"/>
                              <wp:docPr id="33" name="Afbeelding 33" descr="dot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" descr="dot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r:link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57750" cy="409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eastAsia="Times New Roman"/>
                          </w:rPr>
                          <w:t xml:space="preserve">NWO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Vidi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Grant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for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Jan Stoop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04"/>
                          <w:gridCol w:w="4813"/>
                        </w:tblGrid>
                        <w:tr w:rsidR="00B64764">
                          <w:trPr>
                            <w:trHeight w:val="1002"/>
                            <w:tblCellSpacing w:w="0" w:type="dxa"/>
                          </w:trPr>
                          <w:tc>
                            <w:tcPr>
                              <w:tcW w:w="2715" w:type="dxa"/>
                              <w:hideMark/>
                            </w:tcPr>
                            <w:p w:rsidR="00B64764" w:rsidRDefault="00B64764">
                              <w:pPr>
                                <w:spacing w:line="330" w:lineRule="atLeast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666875" cy="1666875"/>
                                    <wp:effectExtent l="0" t="0" r="9525" b="9525"/>
                                    <wp:docPr id="32" name="Afbeelding 32" descr="https://gallery.mailchimp.com/e3805dd0c5dd8424791f80317/images/6d936c1a-bf1f-4fb9-90e2-73d3f9ca8fd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" descr="https://gallery.mailchimp.com/e3805dd0c5dd8424791f80317/images/6d936c1a-bf1f-4fb9-90e2-73d3f9ca8fd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4" r:link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66875" cy="1666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500" w:type="dxa"/>
                              <w:hideMark/>
                            </w:tcPr>
                            <w:p w:rsidR="00B64764" w:rsidRDefault="00B64764">
                              <w:pPr>
                                <w:spacing w:line="330" w:lineRule="atLeast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The Netherlands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Organisation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Scientific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Research (NWO) has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awarded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Dr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Jan Stoop of Erasmus School of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Economics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with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Vidi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grant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his research “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Measuring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poverty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with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envelopes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”. He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will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deepen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knowledge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on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poverty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using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novel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field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experiments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requiring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rich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and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poor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households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return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envelopes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. The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experiments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mimic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daily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chores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, and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impact of financial stress on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their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implementation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. The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results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are important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future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implementations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of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government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policies</w:t>
                              </w:r>
                              <w:proofErr w:type="spellEnd"/>
                            </w:p>
                          </w:tc>
                        </w:tr>
                      </w:tbl>
                      <w:p w:rsidR="00B64764" w:rsidRDefault="00B64764">
                        <w:pPr>
                          <w:pStyle w:val="Normaalweb"/>
                          <w:spacing w:line="330" w:lineRule="atLeast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4857750" cy="409575"/>
                              <wp:effectExtent l="0" t="0" r="0" b="9525"/>
                              <wp:docPr id="31" name="Afbeelding 31" descr="dot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" descr="dot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r:link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57750" cy="409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64764" w:rsidRDefault="00B64764">
                        <w:pPr>
                          <w:pStyle w:val="Kop2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NWO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Veni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Grant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for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Chen Li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04"/>
                          <w:gridCol w:w="4813"/>
                        </w:tblGrid>
                        <w:tr w:rsidR="00B64764">
                          <w:trPr>
                            <w:tblCellSpacing w:w="0" w:type="dxa"/>
                          </w:trPr>
                          <w:tc>
                            <w:tcPr>
                              <w:tcW w:w="2715" w:type="dxa"/>
                              <w:hideMark/>
                            </w:tcPr>
                            <w:p w:rsidR="00B64764" w:rsidRDefault="00B64764">
                              <w:pPr>
                                <w:spacing w:line="330" w:lineRule="atLeast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666875" cy="1666875"/>
                                    <wp:effectExtent l="0" t="0" r="9525" b="9525"/>
                                    <wp:docPr id="30" name="Afbeelding 30" descr="https://gallery.mailchimp.com/e3805dd0c5dd8424791f80317/images/949357ef-7c63-4662-ba93-2550930d8434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" descr="https://gallery.mailchimp.com/e3805dd0c5dd8424791f80317/images/949357ef-7c63-4662-ba93-2550930d8434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6" r:link="rId2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66875" cy="1666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500" w:type="dxa"/>
                              <w:hideMark/>
                            </w:tcPr>
                            <w:p w:rsidR="00B64764" w:rsidRDefault="00B64764">
                              <w:pPr>
                                <w:spacing w:line="330" w:lineRule="atLeast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The Netherlands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Organisation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Scientific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Research (NWO) has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awarded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Dr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Chen Li of Erasmus School of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Economics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with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Veni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grant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her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proposal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“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Entrapped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in gender stereotypes”? The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quest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gender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equality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appears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be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more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difficult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than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at first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thought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partly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because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of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hidden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nature of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stereotyping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. Li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uses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behavioural-economic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techniques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combat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stereotyping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She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will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be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introducing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a new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measure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of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stereotyping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and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welfare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costs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of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stereotyping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will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identify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causes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of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stereotyping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and introduce new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techniques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reduce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stereotyping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B64764" w:rsidRDefault="00B64764">
                        <w:pPr>
                          <w:pStyle w:val="Normaalweb"/>
                          <w:spacing w:line="330" w:lineRule="atLeast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4857750" cy="409575"/>
                              <wp:effectExtent l="0" t="0" r="0" b="9525"/>
                              <wp:docPr id="29" name="Afbeelding 29" descr="dot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" descr="dot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r:link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57750" cy="409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64764" w:rsidRDefault="00B64764">
                        <w:pPr>
                          <w:pStyle w:val="Kop2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NWO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Veni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Grant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for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Bastian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Ravesteijn</w:t>
                        </w:r>
                        <w:proofErr w:type="spellEnd"/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94"/>
                          <w:gridCol w:w="4823"/>
                        </w:tblGrid>
                        <w:tr w:rsidR="00B64764">
                          <w:trPr>
                            <w:tblCellSpacing w:w="0" w:type="dxa"/>
                          </w:trPr>
                          <w:tc>
                            <w:tcPr>
                              <w:tcW w:w="2869" w:type="dxa"/>
                              <w:hideMark/>
                            </w:tcPr>
                            <w:p w:rsidR="00B64764" w:rsidRDefault="00B64764">
                              <w:pPr>
                                <w:spacing w:line="330" w:lineRule="atLeast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1514475" cy="2066925"/>
                                    <wp:effectExtent l="0" t="0" r="9525" b="9525"/>
                                    <wp:docPr id="28" name="Afbeelding 28" descr="Foto Bastian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" descr="Foto Bastian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8" r:link="rId2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4475" cy="2066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781" w:type="dxa"/>
                              <w:hideMark/>
                            </w:tcPr>
                            <w:p w:rsidR="00B64764" w:rsidRDefault="00B64764">
                              <w:pPr>
                                <w:spacing w:line="330" w:lineRule="atLeast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The Netherlands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Organisation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Scientific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Research (NWO) has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awarded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Dr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Bastian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Ravesteijn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of Erasmus School of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Economics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with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Veni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grant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his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proposal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“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Improving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access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mental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healthcare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”.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Some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people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with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psychological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disorder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receive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insufficient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care,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while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others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receive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too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much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care.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Ravesteijn’s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research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used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introduction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of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Personal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Contribution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as 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natural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experiment. Using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statistical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methods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, he is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researching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extent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which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personal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payments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can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result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in optimum access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mental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healthcare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B64764" w:rsidRDefault="00B64764">
                        <w:pPr>
                          <w:pStyle w:val="Normaalweb"/>
                          <w:spacing w:line="330" w:lineRule="atLeast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4857750" cy="409575"/>
                              <wp:effectExtent l="0" t="0" r="0" b="9525"/>
                              <wp:docPr id="27" name="Afbeelding 27" descr="dot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" descr="dot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r:link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57750" cy="409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64764" w:rsidRDefault="00B64764">
                        <w:pPr>
                          <w:pStyle w:val="Kop2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Carlos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Riumallo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Herl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wins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University Research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Prize</w:t>
                        </w:r>
                        <w:proofErr w:type="spellEnd"/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04"/>
                          <w:gridCol w:w="4813"/>
                        </w:tblGrid>
                        <w:tr w:rsidR="00B64764">
                          <w:trPr>
                            <w:tblCellSpacing w:w="0" w:type="dxa"/>
                          </w:trPr>
                          <w:tc>
                            <w:tcPr>
                              <w:tcW w:w="2715" w:type="dxa"/>
                              <w:hideMark/>
                            </w:tcPr>
                            <w:p w:rsidR="00B64764" w:rsidRDefault="00B64764">
                              <w:pPr>
                                <w:spacing w:line="330" w:lineRule="atLeast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609725" cy="2085975"/>
                                    <wp:effectExtent l="0" t="0" r="9525" b="9525"/>
                                    <wp:docPr id="26" name="Afbeelding 26" descr="Foto Carlos 1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" descr="Foto Carlos 1a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0" r:link="rId3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09725" cy="20859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500" w:type="dxa"/>
                              <w:hideMark/>
                            </w:tcPr>
                            <w:p w:rsidR="00B64764" w:rsidRDefault="00B64764">
                              <w:pPr>
                                <w:spacing w:line="330" w:lineRule="atLeast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Assistant Professor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Dr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Carlos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Riumallo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Herl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has won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University Research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Prize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. He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will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receive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Prize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during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festive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ceremony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of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Opening of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Academic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Year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2019-2020, on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Monday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2 September 2019.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32" w:tgtFrame="_blank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Read more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B64764" w:rsidRDefault="00B64764">
                        <w:pPr>
                          <w:pStyle w:val="Normaalweb"/>
                          <w:spacing w:line="330" w:lineRule="atLeast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4857750" cy="409575"/>
                              <wp:effectExtent l="0" t="0" r="0" b="9525"/>
                              <wp:docPr id="25" name="Afbeelding 25" descr="dot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 descr="dot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r:link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57750" cy="409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64764" w:rsidRDefault="00B64764">
                        <w:pPr>
                          <w:pStyle w:val="Kop2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Hans van Kippersluis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appointed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Professor of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Applied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Economics</w:t>
                        </w:r>
                        <w:proofErr w:type="spellEnd"/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04"/>
                          <w:gridCol w:w="4813"/>
                        </w:tblGrid>
                        <w:tr w:rsidR="00B64764">
                          <w:trPr>
                            <w:tblCellSpacing w:w="0" w:type="dxa"/>
                          </w:trPr>
                          <w:tc>
                            <w:tcPr>
                              <w:tcW w:w="2715" w:type="dxa"/>
                              <w:hideMark/>
                            </w:tcPr>
                            <w:p w:rsidR="00B64764" w:rsidRDefault="00B64764">
                              <w:pPr>
                                <w:spacing w:line="330" w:lineRule="atLeast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562100" cy="2019300"/>
                                    <wp:effectExtent l="0" t="0" r="0" b="0"/>
                                    <wp:docPr id="24" name="Afbeelding 24" descr="Foto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9" descr="Foto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3" r:link="rId3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62100" cy="2019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500" w:type="dxa"/>
                              <w:hideMark/>
                            </w:tcPr>
                            <w:p w:rsidR="00B64764" w:rsidRDefault="00B64764">
                              <w:pPr>
                                <w:spacing w:line="330" w:lineRule="atLeast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As of 1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July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2019,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Dr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Hans van Kippersluis has been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appointed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Professor of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Applied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Economics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, at Erasmus School of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Economics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Within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broad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field of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applied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economics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, his research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focuses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on health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behaviour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and human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capital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br/>
                              </w:r>
                              <w:hyperlink r:id="rId35" w:tgtFrame="_blank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Read more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B64764" w:rsidRDefault="00B64764">
                        <w:pPr>
                          <w:pStyle w:val="Normaalweb"/>
                          <w:spacing w:line="330" w:lineRule="atLeast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8"/>
                            <w:szCs w:val="18"/>
                          </w:rPr>
                          <w:lastRenderedPageBreak/>
                          <w:drawing>
                            <wp:inline distT="0" distB="0" distL="0" distR="0">
                              <wp:extent cx="4857750" cy="409575"/>
                              <wp:effectExtent l="0" t="0" r="0" b="9525"/>
                              <wp:docPr id="23" name="Afbeelding 23" descr="dot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dot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r:link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57750" cy="409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64764" w:rsidRDefault="00B64764">
                        <w:pPr>
                          <w:pStyle w:val="Kop2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Elbert Dijkgraaf and Emiel Maasland have won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the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Energy Journal Campbell Watkins Best Paper Award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04"/>
                          <w:gridCol w:w="4813"/>
                        </w:tblGrid>
                        <w:tr w:rsidR="00B64764">
                          <w:trPr>
                            <w:tblCellSpacing w:w="0" w:type="dxa"/>
                          </w:trPr>
                          <w:tc>
                            <w:tcPr>
                              <w:tcW w:w="2715" w:type="dxa"/>
                              <w:hideMark/>
                            </w:tcPr>
                            <w:p w:rsidR="00B64764" w:rsidRDefault="00B64764">
                              <w:pPr>
                                <w:spacing w:line="330" w:lineRule="atLeast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619250" cy="1619250"/>
                                    <wp:effectExtent l="0" t="0" r="0" b="0"/>
                                    <wp:docPr id="22" name="Afbeelding 22" descr="Foto Emiel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" descr="Foto Emiel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 r:link="rId3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0" cy="1619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500" w:type="dxa"/>
                              <w:hideMark/>
                            </w:tcPr>
                            <w:p w:rsidR="00B64764" w:rsidRDefault="00B64764">
                              <w:pPr>
                                <w:spacing w:line="330" w:lineRule="atLeast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Elbert Dijkgraaf, Professor of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Empirical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Economics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at Erasmus School of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Economics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, and Emiel Maasland,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Affiliated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Researcher at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Department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of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Applied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Economics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at Erasmus School of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Economics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, have won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Energy Journal Campbell Watkins Best Paper Award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their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paper on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effectiveness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of feed-in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tariffs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in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development of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solar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photovoltaics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38" w:tgtFrame="_blank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Read more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B64764" w:rsidRDefault="00B64764">
                        <w:pPr>
                          <w:pStyle w:val="Kop2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4857750" cy="409575"/>
                              <wp:effectExtent l="0" t="0" r="0" b="9525"/>
                              <wp:docPr id="21" name="Afbeelding 21" descr="dot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 descr="dot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r:link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57750" cy="409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Restructuring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Education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Service Centre (OSC)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04"/>
                          <w:gridCol w:w="4813"/>
                        </w:tblGrid>
                        <w:tr w:rsidR="00B64764">
                          <w:trPr>
                            <w:tblCellSpacing w:w="0" w:type="dxa"/>
                          </w:trPr>
                          <w:tc>
                            <w:tcPr>
                              <w:tcW w:w="2715" w:type="dxa"/>
                              <w:hideMark/>
                            </w:tcPr>
                            <w:p w:rsidR="00B64764" w:rsidRDefault="00B64764">
                              <w:pPr>
                                <w:spacing w:line="330" w:lineRule="atLeast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666875" cy="1666875"/>
                                    <wp:effectExtent l="0" t="0" r="9525" b="9525"/>
                                    <wp:docPr id="20" name="Afbeelding 20" descr="https://gallery.mailchimp.com/e3805dd0c5dd8424791f80317/images/4bd9f90c-0d57-4cc8-be09-42631ccdd7a5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5" descr="https://gallery.mailchimp.com/e3805dd0c5dd8424791f80317/images/4bd9f90c-0d57-4cc8-be09-42631ccdd7a5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 r:link="rId4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66875" cy="1666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500" w:type="dxa"/>
                              <w:hideMark/>
                            </w:tcPr>
                            <w:p w:rsidR="00B64764" w:rsidRDefault="00B64764">
                              <w:pPr>
                                <w:spacing w:line="330" w:lineRule="atLeast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The Executive Board of Erasmus School of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Economics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has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decided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restructure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Education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Service Centre (OSC)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into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three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independent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departments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each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with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their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own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area of expertise and manager.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41" w:tgtFrame="_blank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Read more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B64764" w:rsidRDefault="00B64764">
                        <w:pPr>
                          <w:pStyle w:val="Normaalweb"/>
                          <w:spacing w:line="330" w:lineRule="atLeast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4857750" cy="409575"/>
                              <wp:effectExtent l="0" t="0" r="0" b="9525"/>
                              <wp:docPr id="19" name="Afbeelding 19" descr="dot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dot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r:link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57750" cy="409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64764" w:rsidRDefault="00B64764">
                        <w:pPr>
                          <w:pStyle w:val="Kop2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Websites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to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calculate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and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buy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CO2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compensation</w:t>
                        </w:r>
                        <w:proofErr w:type="spellEnd"/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04"/>
                          <w:gridCol w:w="4813"/>
                        </w:tblGrid>
                        <w:tr w:rsidR="00B64764">
                          <w:trPr>
                            <w:tblCellSpacing w:w="0" w:type="dxa"/>
                          </w:trPr>
                          <w:tc>
                            <w:tcPr>
                              <w:tcW w:w="2715" w:type="dxa"/>
                              <w:hideMark/>
                            </w:tcPr>
                            <w:p w:rsidR="00B64764" w:rsidRDefault="00B64764">
                              <w:pPr>
                                <w:spacing w:line="330" w:lineRule="atLeast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666875" cy="1666875"/>
                                    <wp:effectExtent l="0" t="0" r="9525" b="9525"/>
                                    <wp:docPr id="18" name="Afbeelding 18" descr="https://gallery.mailchimp.com/e3805dd0c5dd8424791f80317/images/4ee5982a-5e8f-4e44-b985-ad016aa56c7d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" descr="https://gallery.mailchimp.com/e3805dd0c5dd8424791f80317/images/4ee5982a-5e8f-4e44-b985-ad016aa56c7d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 r:link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66875" cy="1666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500" w:type="dxa"/>
                              <w:hideMark/>
                            </w:tcPr>
                            <w:p w:rsidR="00B64764" w:rsidRDefault="00B64764">
                              <w:pPr>
                                <w:spacing w:line="330" w:lineRule="atLeast"/>
                              </w:pP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There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are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several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websites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that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can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calculate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your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Carbon Footprint. The best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ones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are </w:t>
                              </w:r>
                              <w:hyperlink r:id="rId44" w:tgtFrame="_blank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www.myclimate.org</w:t>
                                </w:r>
                              </w:hyperlink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and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Dutch market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it’s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 </w:t>
                              </w:r>
                              <w:hyperlink r:id="rId45" w:tgtFrame="_blank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www.greenseat.nl</w:t>
                                </w:r>
                              </w:hyperlink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. These websites let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you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calculate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your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usage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, but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also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give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you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a opportunity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compensate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by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bringing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it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back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into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balance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. For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example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;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if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you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fly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Bangkok and back,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you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use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 1,6700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tons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of CO2.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This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converted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into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cash is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around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€16,-.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You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can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donate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this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amount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good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cause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This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amount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would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provide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1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household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in India, Cambodja or Uganda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with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renewable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energy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one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whole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year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! </w:t>
                              </w:r>
                            </w:p>
                            <w:p w:rsidR="00B64764" w:rsidRDefault="00B64764">
                              <w:pPr>
                                <w:spacing w:line="330" w:lineRule="atLeast"/>
                              </w:pPr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For more information click </w:t>
                              </w:r>
                              <w:hyperlink r:id="rId46" w:tgtFrame="_blank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here</w:t>
                                </w:r>
                              </w:hyperlink>
                              <w:r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</w:p>
                          </w:tc>
                        </w:tr>
                      </w:tbl>
                      <w:p w:rsidR="00B64764" w:rsidRDefault="00B64764">
                        <w:pPr>
                          <w:pStyle w:val="Kop2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lastRenderedPageBreak/>
                          <w:drawing>
                            <wp:inline distT="0" distB="0" distL="0" distR="0">
                              <wp:extent cx="4857750" cy="409575"/>
                              <wp:effectExtent l="0" t="0" r="0" b="9525"/>
                              <wp:docPr id="17" name="Afbeelding 17" descr="dot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dot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r:link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57750" cy="409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Reimbursements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: Upload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documents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in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one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file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04"/>
                          <w:gridCol w:w="4813"/>
                        </w:tblGrid>
                        <w:tr w:rsidR="00B64764">
                          <w:trPr>
                            <w:tblCellSpacing w:w="0" w:type="dxa"/>
                          </w:trPr>
                          <w:tc>
                            <w:tcPr>
                              <w:tcW w:w="2715" w:type="dxa"/>
                              <w:hideMark/>
                            </w:tcPr>
                            <w:p w:rsidR="00B64764" w:rsidRDefault="00B64764">
                              <w:pPr>
                                <w:spacing w:line="33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714500" cy="1714500"/>
                                    <wp:effectExtent l="0" t="0" r="0" b="0"/>
                                    <wp:docPr id="16" name="Afbeelding 16" descr="Thumbnail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" descr="Thumbnail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 r:link="rId4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0" cy="1714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500" w:type="dxa"/>
                              <w:hideMark/>
                            </w:tcPr>
                            <w:p w:rsidR="00B64764" w:rsidRDefault="00B64764">
                              <w:pPr>
                                <w:spacing w:line="330" w:lineRule="atLeast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When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you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are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going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reimburse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costs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business trips or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other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costs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please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upload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all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documents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in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one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file. </w:t>
                              </w:r>
                            </w:p>
                            <w:p w:rsidR="00B64764" w:rsidRDefault="00B64764">
                              <w:pPr>
                                <w:spacing w:line="330" w:lineRule="atLeast"/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64764" w:rsidRDefault="00B64764">
                        <w:pPr>
                          <w:pStyle w:val="Kop2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4857750" cy="409575"/>
                              <wp:effectExtent l="0" t="0" r="0" b="9525"/>
                              <wp:docPr id="15" name="Afbeelding 15" descr="dot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dot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r:link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57750" cy="409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  <w:p w:rsidR="00B64764" w:rsidRDefault="00B64764">
                        <w:pPr>
                          <w:pStyle w:val="Kop2"/>
                          <w:spacing w:line="36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Agenda</w:t>
                        </w:r>
                      </w:p>
                      <w:p w:rsidR="00B64764" w:rsidRDefault="00B64764">
                        <w:pPr>
                          <w:pStyle w:val="Lijstalinea"/>
                          <w:spacing w:line="360" w:lineRule="auto"/>
                          <w:ind w:hanging="360"/>
                        </w:pPr>
                        <w:r>
                          <w:rPr>
                            <w:rFonts w:ascii="Symbol" w:hAnsi="Symbol"/>
                            <w:color w:val="000000"/>
                            <w:sz w:val="20"/>
                            <w:szCs w:val="20"/>
                          </w:rPr>
                          <w:t></w:t>
                        </w:r>
                        <w:r>
                          <w:rPr>
                            <w:color w:val="000000"/>
                            <w:sz w:val="14"/>
                            <w:szCs w:val="14"/>
                          </w:rPr>
                          <w:t xml:space="preserve">        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09 September: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Introduction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day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for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new employees</w:t>
                        </w:r>
                      </w:p>
                      <w:p w:rsidR="00B64764" w:rsidRDefault="00B64764">
                        <w:pPr>
                          <w:pStyle w:val="Lijstalinea"/>
                          <w:spacing w:line="360" w:lineRule="auto"/>
                          <w:ind w:hanging="360"/>
                        </w:pPr>
                        <w:r>
                          <w:rPr>
                            <w:rFonts w:ascii="Symbol" w:hAnsi="Symbol"/>
                            <w:color w:val="000000"/>
                            <w:sz w:val="20"/>
                            <w:szCs w:val="20"/>
                          </w:rPr>
                          <w:t></w:t>
                        </w:r>
                        <w:r>
                          <w:rPr>
                            <w:color w:val="000000"/>
                            <w:sz w:val="14"/>
                            <w:szCs w:val="14"/>
                          </w:rPr>
                          <w:t xml:space="preserve">        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16 September: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Introduction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day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for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new employees</w:t>
                        </w:r>
                      </w:p>
                      <w:p w:rsidR="00B64764" w:rsidRDefault="00B64764">
                        <w:pPr>
                          <w:pStyle w:val="Lijstalinea"/>
                          <w:spacing w:line="360" w:lineRule="auto"/>
                          <w:ind w:hanging="360"/>
                        </w:pPr>
                        <w:r>
                          <w:rPr>
                            <w:rFonts w:ascii="Symbol" w:hAnsi="Symbol"/>
                            <w:color w:val="000000"/>
                            <w:sz w:val="20"/>
                            <w:szCs w:val="20"/>
                          </w:rPr>
                          <w:t></w:t>
                        </w:r>
                        <w:r>
                          <w:rPr>
                            <w:color w:val="000000"/>
                            <w:sz w:val="14"/>
                            <w:szCs w:val="14"/>
                          </w:rPr>
                          <w:t xml:space="preserve">        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07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October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Introduction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day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for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new employees</w:t>
                        </w:r>
                      </w:p>
                      <w:p w:rsidR="00B64764" w:rsidRDefault="00B64764">
                        <w:pPr>
                          <w:pStyle w:val="Lijstalinea"/>
                          <w:spacing w:line="360" w:lineRule="auto"/>
                          <w:ind w:hanging="360"/>
                        </w:pPr>
                        <w:r>
                          <w:rPr>
                            <w:rFonts w:ascii="Symbol" w:hAnsi="Symbol"/>
                            <w:color w:val="000000"/>
                            <w:sz w:val="20"/>
                            <w:szCs w:val="20"/>
                          </w:rPr>
                          <w:t></w:t>
                        </w:r>
                        <w:r>
                          <w:rPr>
                            <w:color w:val="000000"/>
                            <w:sz w:val="14"/>
                            <w:szCs w:val="14"/>
                          </w:rPr>
                          <w:t xml:space="preserve">        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01 November: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Inaugural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lecture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Lans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Bovenberg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and Paul van Geest 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ESPhil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)</w:t>
                        </w:r>
                      </w:p>
                      <w:p w:rsidR="00B64764" w:rsidRDefault="00B64764">
                        <w:pPr>
                          <w:pStyle w:val="Lijstalinea"/>
                          <w:spacing w:line="360" w:lineRule="auto"/>
                          <w:ind w:hanging="360"/>
                        </w:pPr>
                        <w:r>
                          <w:rPr>
                            <w:rFonts w:ascii="Symbol" w:hAnsi="Symbol"/>
                            <w:color w:val="000000"/>
                            <w:sz w:val="20"/>
                            <w:szCs w:val="20"/>
                          </w:rPr>
                          <w:t></w:t>
                        </w:r>
                        <w:r>
                          <w:rPr>
                            <w:color w:val="000000"/>
                            <w:sz w:val="14"/>
                            <w:szCs w:val="14"/>
                          </w:rPr>
                          <w:t xml:space="preserve">        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11 November: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Introduction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day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for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new employees</w:t>
                        </w:r>
                      </w:p>
                      <w:p w:rsidR="00B64764" w:rsidRDefault="00B64764">
                        <w:pPr>
                          <w:pStyle w:val="Lijstalinea"/>
                          <w:spacing w:line="360" w:lineRule="auto"/>
                          <w:ind w:hanging="360"/>
                        </w:pPr>
                        <w:r>
                          <w:rPr>
                            <w:rFonts w:ascii="Symbol" w:hAnsi="Symbol"/>
                            <w:color w:val="000000"/>
                            <w:sz w:val="20"/>
                            <w:szCs w:val="20"/>
                          </w:rPr>
                          <w:t></w:t>
                        </w:r>
                        <w:r>
                          <w:rPr>
                            <w:color w:val="000000"/>
                            <w:sz w:val="14"/>
                            <w:szCs w:val="14"/>
                          </w:rPr>
                          <w:t xml:space="preserve">        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10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January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2020 New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Year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drinks at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Lokanta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, 16.00 – 19.00</w:t>
                        </w:r>
                      </w:p>
                      <w:p w:rsidR="00B64764" w:rsidRDefault="00B64764">
                        <w:pPr>
                          <w:pStyle w:val="Lijstalinea"/>
                          <w:spacing w:line="360" w:lineRule="auto"/>
                          <w:ind w:hanging="360"/>
                        </w:pPr>
                        <w:r>
                          <w:rPr>
                            <w:rFonts w:ascii="Symbol" w:hAnsi="Symbol"/>
                            <w:color w:val="000000"/>
                            <w:sz w:val="20"/>
                            <w:szCs w:val="20"/>
                          </w:rPr>
                          <w:t></w:t>
                        </w:r>
                        <w:r>
                          <w:rPr>
                            <w:color w:val="000000"/>
                            <w:sz w:val="14"/>
                            <w:szCs w:val="14"/>
                          </w:rPr>
                          <w:t xml:space="preserve">        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13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January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2020: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Introduction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day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for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new employees</w:t>
                        </w:r>
                      </w:p>
                      <w:p w:rsidR="00B64764" w:rsidRDefault="00B64764">
                        <w:pPr>
                          <w:pStyle w:val="Lijstalinea"/>
                          <w:spacing w:line="360" w:lineRule="auto"/>
                          <w:ind w:hanging="360"/>
                        </w:pPr>
                        <w:r>
                          <w:rPr>
                            <w:rFonts w:ascii="Symbol" w:hAnsi="Symbol"/>
                            <w:color w:val="000000"/>
                            <w:sz w:val="20"/>
                            <w:szCs w:val="20"/>
                          </w:rPr>
                          <w:t></w:t>
                        </w:r>
                        <w:r>
                          <w:rPr>
                            <w:color w:val="000000"/>
                            <w:sz w:val="14"/>
                            <w:szCs w:val="14"/>
                          </w:rPr>
                          <w:t xml:space="preserve">        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16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June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2020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Department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Outing 2020</w:t>
                        </w:r>
                      </w:p>
                      <w:p w:rsidR="00B64764" w:rsidRDefault="00B64764">
                        <w:pPr>
                          <w:pStyle w:val="Kop2"/>
                          <w:spacing w:line="36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4857750" cy="409575"/>
                              <wp:effectExtent l="0" t="0" r="0" b="9525"/>
                              <wp:docPr id="14" name="Afbeelding 14" descr="dot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dot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r:link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57750" cy="409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64764" w:rsidRDefault="00B64764">
                        <w:pPr>
                          <w:pStyle w:val="Kop2"/>
                          <w:spacing w:line="360" w:lineRule="auto"/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Upcoming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holidays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2019</w:t>
                        </w:r>
                      </w:p>
                      <w:p w:rsidR="00B64764" w:rsidRDefault="00B64764">
                        <w:pPr>
                          <w:pStyle w:val="Normaalweb"/>
                          <w:spacing w:line="360" w:lineRule="auto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Upcoming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national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holidays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on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which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the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EUR is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closed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:</w:t>
                        </w:r>
                      </w:p>
                      <w:p w:rsidR="00B64764" w:rsidRDefault="00B64764" w:rsidP="00EE6A1C">
                        <w:pPr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rFonts w:eastAsia="Times New Roman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Wednesday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 xml:space="preserve"> 25 December – Christmas Day</w:t>
                        </w:r>
                      </w:p>
                      <w:p w:rsidR="00B64764" w:rsidRDefault="00B64764" w:rsidP="00EE6A1C">
                        <w:pPr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rFonts w:eastAsia="Times New Roman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Thursday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 xml:space="preserve"> 26 December - Christmas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Boxing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 xml:space="preserve"> Day</w:t>
                        </w:r>
                      </w:p>
                      <w:p w:rsidR="00B64764" w:rsidRDefault="00B64764" w:rsidP="00EE6A1C">
                        <w:pPr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rFonts w:eastAsia="Times New Roman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Wednesday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 xml:space="preserve"> 1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January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 xml:space="preserve"> 2019 – New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Year’s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 xml:space="preserve"> Day</w:t>
                        </w:r>
                      </w:p>
                      <w:p w:rsidR="00B64764" w:rsidRDefault="00B64764">
                        <w:pPr>
                          <w:spacing w:line="360" w:lineRule="auto"/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Please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note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that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EUR is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also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closed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from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Monday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23 December 2019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until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Wednesday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1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January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2020.</w:t>
                        </w:r>
                      </w:p>
                      <w:p w:rsidR="00B64764" w:rsidRDefault="00B64764">
                        <w:pPr>
                          <w:spacing w:line="360" w:lineRule="auto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4857750" cy="409575"/>
                              <wp:effectExtent l="0" t="0" r="0" b="9525"/>
                              <wp:docPr id="13" name="Afbeelding 13" descr="dot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dot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r:link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57750" cy="409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64764" w:rsidRDefault="00B64764">
                        <w:pPr>
                          <w:pStyle w:val="Kop2"/>
                          <w:spacing w:line="36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New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colleagues</w:t>
                        </w:r>
                        <w:proofErr w:type="spellEnd"/>
                      </w:p>
                      <w:tbl>
                        <w:tblPr>
                          <w:tblW w:w="768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6"/>
                          <w:gridCol w:w="4798"/>
                        </w:tblGrid>
                        <w:tr w:rsidR="00B64764">
                          <w:tc>
                            <w:tcPr>
                              <w:tcW w:w="2886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B64764" w:rsidRDefault="00B64764">
                              <w:pPr>
                                <w:spacing w:line="360" w:lineRule="auto"/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1600200" cy="1895475"/>
                                    <wp:effectExtent l="0" t="0" r="0" b="9525"/>
                                    <wp:docPr id="12" name="Afbeelding 12" descr="Foto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" descr="Foto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 r:link="rId5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00200" cy="18954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64764" w:rsidRDefault="00B64764">
                              <w:pPr>
                                <w:spacing w:line="360" w:lineRule="auto"/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798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B64764" w:rsidRDefault="00B64764">
                              <w:pPr>
                                <w:spacing w:line="360" w:lineRule="auto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:rsidR="00B64764" w:rsidRDefault="00B64764">
                              <w:pPr>
                                <w:spacing w:line="360" w:lineRule="auto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As of 1 September 2019,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we’ll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welcome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Vahid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Moghani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. He is a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PhD student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project “Family Planning,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earley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life and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economic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outcomes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”.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 xml:space="preserve">His promotors are Tom van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Ourti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and Pilar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Garcia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Gomez.</w:t>
                              </w:r>
                            </w:p>
                            <w:p w:rsidR="00B64764" w:rsidRDefault="00B64764">
                              <w:pPr>
                                <w:spacing w:line="360" w:lineRule="auto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64764">
                          <w:tc>
                            <w:tcPr>
                              <w:tcW w:w="2886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B64764" w:rsidRDefault="00B64764">
                              <w:pPr>
                                <w:spacing w:line="360" w:lineRule="auto"/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798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B64764" w:rsidRDefault="00B64764">
                              <w:pPr>
                                <w:spacing w:line="360" w:lineRule="auto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64764">
                          <w:tc>
                            <w:tcPr>
                              <w:tcW w:w="2886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B64764" w:rsidRDefault="00B64764">
                              <w:pPr>
                                <w:spacing w:line="360" w:lineRule="auto"/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695450" cy="2000250"/>
                                    <wp:effectExtent l="0" t="0" r="0" b="0"/>
                                    <wp:docPr id="11" name="Afbeelding 11" descr="Foto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 descr="Foto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1" r:link="rId5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95450" cy="2000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64764" w:rsidRDefault="00B64764">
                              <w:pPr>
                                <w:spacing w:line="360" w:lineRule="auto"/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798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B64764" w:rsidRDefault="00B64764">
                              <w:pPr>
                                <w:spacing w:line="360" w:lineRule="auto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:rsidR="00B64764" w:rsidRDefault="00B64764">
                              <w:pPr>
                                <w:spacing w:line="360" w:lineRule="auto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:rsidR="00B64764" w:rsidRDefault="00B64764">
                              <w:pPr>
                                <w:spacing w:line="360" w:lineRule="auto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As of 1 September 2019,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we’ll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welcome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Francesco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Capozza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. He is a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PhD student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project “Field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experiments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on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social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dilemmas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”.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 xml:space="preserve">His promotors are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Aurelien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Baillon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en Jan Stoop.</w:t>
                              </w:r>
                            </w:p>
                          </w:tc>
                        </w:tr>
                        <w:tr w:rsidR="00B64764">
                          <w:tc>
                            <w:tcPr>
                              <w:tcW w:w="2886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B64764" w:rsidRDefault="00B64764">
                              <w:pPr>
                                <w:spacing w:line="360" w:lineRule="auto"/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798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B64764" w:rsidRDefault="00B64764">
                              <w:pPr>
                                <w:spacing w:line="360" w:lineRule="auto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64764">
                          <w:tc>
                            <w:tcPr>
                              <w:tcW w:w="2886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B64764" w:rsidRDefault="00B64764">
                              <w:pPr>
                                <w:spacing w:line="360" w:lineRule="auto"/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628775" cy="1676400"/>
                                    <wp:effectExtent l="0" t="0" r="9525" b="0"/>
                                    <wp:docPr id="10" name="Afbeelding 10" descr="foto Marcus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 descr="foto Marcus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3" r:link="rId5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28775" cy="1676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798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B64764" w:rsidRDefault="00B64764">
                              <w:pPr>
                                <w:spacing w:line="360" w:lineRule="auto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:rsidR="00B64764" w:rsidRDefault="00B64764">
                              <w:pPr>
                                <w:spacing w:line="360" w:lineRule="auto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As of 1 September 2019,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we’ll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welcome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Markus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Rösch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. He is a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PhD student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project “Multinational Investment,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Government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Policy and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Labour Market”.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His promotors are Frank van Oort, Bas Karreman en Michiel Gerritse.</w:t>
                              </w:r>
                            </w:p>
                          </w:tc>
                        </w:tr>
                        <w:tr w:rsidR="00B64764">
                          <w:tc>
                            <w:tcPr>
                              <w:tcW w:w="2886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B64764" w:rsidRDefault="00B64764">
                              <w:pPr>
                                <w:spacing w:line="360" w:lineRule="auto"/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798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B64764" w:rsidRDefault="00B64764">
                              <w:pPr>
                                <w:spacing w:line="360" w:lineRule="auto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64764">
                          <w:tc>
                            <w:tcPr>
                              <w:tcW w:w="2886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B64764" w:rsidRDefault="00B64764">
                              <w:pPr>
                                <w:spacing w:line="360" w:lineRule="auto"/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798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B64764" w:rsidRDefault="00B64764">
                              <w:pPr>
                                <w:spacing w:line="360" w:lineRule="auto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64764" w:rsidRDefault="00B64764">
                        <w:pPr>
                          <w:spacing w:line="360" w:lineRule="auto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4857750" cy="409575"/>
                              <wp:effectExtent l="0" t="0" r="0" b="9525"/>
                              <wp:docPr id="9" name="Afbeelding 9" descr="dot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dot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r:link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57750" cy="409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6476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B64764" w:rsidRDefault="00B64764">
                        <w:pPr>
                          <w:pStyle w:val="Kop1"/>
                          <w:spacing w:line="36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lastRenderedPageBreak/>
                          <w:t> </w:t>
                        </w:r>
                      </w:p>
                    </w:tc>
                  </w:tr>
                </w:tbl>
                <w:p w:rsidR="00B64764" w:rsidRDefault="00B6476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vAlign w:val="center"/>
                  <w:hideMark/>
                </w:tcPr>
                <w:p w:rsidR="00B64764" w:rsidRDefault="00B6476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64764" w:rsidRDefault="00B64764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  <w:p w:rsidR="00B64764" w:rsidRDefault="00B64764">
            <w:pPr>
              <w:spacing w:line="360" w:lineRule="auto"/>
            </w:pPr>
            <w:r>
              <w:t xml:space="preserve">                </w:t>
            </w:r>
          </w:p>
        </w:tc>
      </w:tr>
      <w:tr w:rsidR="00B64764" w:rsidTr="00B6476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B64764" w:rsidRDefault="00B64764">
            <w:pPr>
              <w:spacing w:line="360" w:lineRule="auto"/>
            </w:pPr>
            <w:r>
              <w:lastRenderedPageBreak/>
              <w:t> </w:t>
            </w:r>
          </w:p>
          <w:tbl>
            <w:tblPr>
              <w:tblW w:w="9000" w:type="dxa"/>
              <w:jc w:val="center"/>
              <w:tblCellSpacing w:w="0" w:type="dxa"/>
              <w:shd w:val="clear" w:color="auto" w:fill="EEE8E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5625"/>
              <w:gridCol w:w="2070"/>
              <w:gridCol w:w="630"/>
            </w:tblGrid>
            <w:tr w:rsidR="00B64764">
              <w:trPr>
                <w:tblCellSpacing w:w="0" w:type="dxa"/>
                <w:jc w:val="center"/>
              </w:trPr>
              <w:tc>
                <w:tcPr>
                  <w:tcW w:w="0" w:type="auto"/>
                  <w:gridSpan w:val="4"/>
                  <w:shd w:val="clear" w:color="auto" w:fill="EEE8E7"/>
                  <w:vAlign w:val="center"/>
                  <w:hideMark/>
                </w:tcPr>
                <w:p w:rsidR="00B64764" w:rsidRDefault="00B64764">
                  <w:pPr>
                    <w:spacing w:line="360" w:lineRule="auto"/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>
                        <wp:extent cx="5715000" cy="790575"/>
                        <wp:effectExtent l="0" t="0" r="0" b="9525"/>
                        <wp:docPr id="8" name="Afbeelding 8" descr="foot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foot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5" r:link="rId5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64764">
              <w:trPr>
                <w:tblCellSpacing w:w="0" w:type="dxa"/>
                <w:jc w:val="center"/>
              </w:trPr>
              <w:tc>
                <w:tcPr>
                  <w:tcW w:w="675" w:type="dxa"/>
                  <w:shd w:val="clear" w:color="auto" w:fill="EEE8E7"/>
                  <w:vAlign w:val="center"/>
                  <w:hideMark/>
                </w:tcPr>
                <w:p w:rsidR="00B64764" w:rsidRDefault="00B64764"/>
              </w:tc>
              <w:tc>
                <w:tcPr>
                  <w:tcW w:w="5625" w:type="dxa"/>
                  <w:shd w:val="clear" w:color="auto" w:fill="EEE8E7"/>
                  <w:vAlign w:val="center"/>
                  <w:hideMark/>
                </w:tcPr>
                <w:tbl>
                  <w:tblPr>
                    <w:tblW w:w="31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5"/>
                    <w:gridCol w:w="525"/>
                    <w:gridCol w:w="525"/>
                    <w:gridCol w:w="525"/>
                    <w:gridCol w:w="525"/>
                    <w:gridCol w:w="525"/>
                  </w:tblGrid>
                  <w:tr w:rsidR="00B64764">
                    <w:trPr>
                      <w:tblCellSpacing w:w="0" w:type="dxa"/>
                    </w:trPr>
                    <w:tc>
                      <w:tcPr>
                        <w:tcW w:w="450" w:type="dxa"/>
                        <w:vAlign w:val="center"/>
                        <w:hideMark/>
                      </w:tcPr>
                      <w:p w:rsidR="00B64764" w:rsidRDefault="00B64764">
                        <w:pPr>
                          <w:spacing w:line="360" w:lineRule="auto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238125" cy="238125"/>
                              <wp:effectExtent l="0" t="0" r="9525" b="9525"/>
                              <wp:docPr id="7" name="Afbeelding 7" descr="facebook">
                                <a:hlinkClick xmlns:a="http://schemas.openxmlformats.org/drawingml/2006/main" r:id="rId57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facebook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8" r:link="rId5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64764" w:rsidRDefault="00B64764">
                        <w:pPr>
                          <w:spacing w:line="360" w:lineRule="auto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238125" cy="238125"/>
                              <wp:effectExtent l="0" t="0" r="9525" b="9525"/>
                              <wp:docPr id="6" name="Afbeelding 6" descr="linkedin">
                                <a:hlinkClick xmlns:a="http://schemas.openxmlformats.org/drawingml/2006/main" r:id="rId60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linkedi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1" r:link="rId6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64764" w:rsidRDefault="00B64764">
                        <w:pPr>
                          <w:spacing w:line="360" w:lineRule="auto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238125" cy="238125"/>
                              <wp:effectExtent l="0" t="0" r="9525" b="9525"/>
                              <wp:docPr id="5" name="Afbeelding 5" descr="youtube">
                                <a:hlinkClick xmlns:a="http://schemas.openxmlformats.org/drawingml/2006/main" r:id="rId63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youtub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4" r:link="rId6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64764" w:rsidRDefault="00B64764">
                        <w:pPr>
                          <w:spacing w:line="360" w:lineRule="auto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238125" cy="238125"/>
                              <wp:effectExtent l="0" t="0" r="9525" b="9525"/>
                              <wp:docPr id="4" name="Afbeelding 4" descr="twitter">
                                <a:hlinkClick xmlns:a="http://schemas.openxmlformats.org/drawingml/2006/main" r:id="rId66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twitter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7" r:link="rId6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64764" w:rsidRDefault="00B64764">
                        <w:pPr>
                          <w:spacing w:line="360" w:lineRule="auto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238125" cy="238125"/>
                              <wp:effectExtent l="0" t="0" r="9525" b="9525"/>
                              <wp:docPr id="3" name="Afbeelding 3" descr="instagram">
                                <a:hlinkClick xmlns:a="http://schemas.openxmlformats.org/drawingml/2006/main" r:id="rId69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instagram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0" r:link="rId7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64764" w:rsidRDefault="00B64764">
                        <w:pPr>
                          <w:spacing w:line="360" w:lineRule="auto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238125" cy="238125"/>
                              <wp:effectExtent l="0" t="0" r="9525" b="9525"/>
                              <wp:docPr id="2" name="Afbeelding 2" descr="snapchat">
                                <a:hlinkClick xmlns:a="http://schemas.openxmlformats.org/drawingml/2006/main" r:id="rId72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snapcha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3" r:link="rId7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B64764" w:rsidRDefault="00B64764">
                  <w:pPr>
                    <w:spacing w:line="360" w:lineRule="auto"/>
                  </w:pPr>
                  <w: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2017 Erasmus School of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Economics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| </w:t>
                  </w:r>
                  <w:hyperlink r:id="rId75" w:tgtFrame="_blank" w:history="1">
                    <w:r>
                      <w:rPr>
                        <w:rStyle w:val="Hyperlink"/>
                        <w:sz w:val="18"/>
                        <w:szCs w:val="18"/>
                      </w:rPr>
                      <w:t>disclaimer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25" w:type="dxa"/>
                  <w:shd w:val="clear" w:color="auto" w:fill="EEE8E7"/>
                  <w:vAlign w:val="center"/>
                  <w:hideMark/>
                </w:tcPr>
                <w:p w:rsidR="00B64764" w:rsidRDefault="00B64764">
                  <w:pPr>
                    <w:spacing w:line="36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04925" cy="438150"/>
                        <wp:effectExtent l="0" t="0" r="9525" b="0"/>
                        <wp:docPr id="1" name="Afbeelding 1" descr="erasm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erasm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6" r:link="rId7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49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5" w:type="dxa"/>
                  <w:shd w:val="clear" w:color="auto" w:fill="EEE8E7"/>
                  <w:vAlign w:val="center"/>
                  <w:hideMark/>
                </w:tcPr>
                <w:p w:rsidR="00B64764" w:rsidRDefault="00B64764"/>
              </w:tc>
            </w:tr>
            <w:tr w:rsidR="00B64764">
              <w:trPr>
                <w:trHeight w:val="600"/>
                <w:tblCellSpacing w:w="0" w:type="dxa"/>
                <w:jc w:val="center"/>
              </w:trPr>
              <w:tc>
                <w:tcPr>
                  <w:tcW w:w="0" w:type="auto"/>
                  <w:gridSpan w:val="4"/>
                  <w:shd w:val="clear" w:color="auto" w:fill="EEE8E7"/>
                  <w:vAlign w:val="center"/>
                  <w:hideMark/>
                </w:tcPr>
                <w:p w:rsidR="00B64764" w:rsidRDefault="00B6476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64764" w:rsidRDefault="00B647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D5DFB" w:rsidRDefault="00B64764">
      <w:bookmarkStart w:id="0" w:name="_GoBack"/>
      <w:bookmarkEnd w:id="0"/>
    </w:p>
    <w:sectPr w:rsidR="002D5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B7D64"/>
    <w:multiLevelType w:val="multilevel"/>
    <w:tmpl w:val="7006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764"/>
    <w:rsid w:val="00107D3C"/>
    <w:rsid w:val="00B64764"/>
    <w:rsid w:val="00D9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FA118-1B5B-4757-99E1-DEF4D071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64764"/>
    <w:pPr>
      <w:spacing w:after="0" w:line="240" w:lineRule="auto"/>
    </w:pPr>
    <w:rPr>
      <w:rFonts w:ascii="Calibri" w:hAnsi="Calibri" w:cs="Calibri"/>
      <w:lang w:eastAsia="nl-NL"/>
    </w:rPr>
  </w:style>
  <w:style w:type="paragraph" w:styleId="Kop1">
    <w:name w:val="heading 1"/>
    <w:basedOn w:val="Standaard"/>
    <w:link w:val="Kop1Char"/>
    <w:uiPriority w:val="9"/>
    <w:qFormat/>
    <w:rsid w:val="00B64764"/>
    <w:pPr>
      <w:spacing w:line="510" w:lineRule="atLeast"/>
      <w:outlineLvl w:val="0"/>
    </w:pPr>
    <w:rPr>
      <w:rFonts w:ascii="Arial" w:hAnsi="Arial" w:cs="Arial"/>
      <w:color w:val="000000"/>
      <w:kern w:val="36"/>
      <w:sz w:val="35"/>
      <w:szCs w:val="35"/>
    </w:rPr>
  </w:style>
  <w:style w:type="paragraph" w:styleId="Kop2">
    <w:name w:val="heading 2"/>
    <w:basedOn w:val="Standaard"/>
    <w:link w:val="Kop2Char"/>
    <w:uiPriority w:val="9"/>
    <w:semiHidden/>
    <w:unhideWhenUsed/>
    <w:qFormat/>
    <w:rsid w:val="00B64764"/>
    <w:pPr>
      <w:spacing w:after="150" w:line="360" w:lineRule="atLeast"/>
      <w:outlineLvl w:val="1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64764"/>
    <w:rPr>
      <w:rFonts w:ascii="Arial" w:hAnsi="Arial" w:cs="Arial"/>
      <w:color w:val="000000"/>
      <w:kern w:val="36"/>
      <w:sz w:val="35"/>
      <w:szCs w:val="35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64764"/>
    <w:rPr>
      <w:rFonts w:ascii="Arial" w:hAnsi="Arial" w:cs="Arial"/>
      <w:b/>
      <w:bCs/>
      <w:color w:val="000000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B64764"/>
    <w:rPr>
      <w:color w:val="0563C1"/>
      <w:u w:val="single"/>
    </w:rPr>
  </w:style>
  <w:style w:type="paragraph" w:styleId="Normaalweb">
    <w:name w:val="Normal (Web)"/>
    <w:basedOn w:val="Standaard"/>
    <w:uiPriority w:val="99"/>
    <w:semiHidden/>
    <w:unhideWhenUsed/>
    <w:rsid w:val="00B6476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B64764"/>
    <w:pPr>
      <w:ind w:left="7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1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baneurope.verdus.nl/de-economische-veerkracht-van-steden" TargetMode="External"/><Relationship Id="rId18" Type="http://schemas.openxmlformats.org/officeDocument/2006/relationships/image" Target="cid:image003.jpg@01D5412C.4222C8C0" TargetMode="External"/><Relationship Id="rId26" Type="http://schemas.openxmlformats.org/officeDocument/2006/relationships/image" Target="media/image7.jpeg"/><Relationship Id="rId39" Type="http://schemas.openxmlformats.org/officeDocument/2006/relationships/image" Target="media/image12.jpeg"/><Relationship Id="rId21" Type="http://schemas.openxmlformats.org/officeDocument/2006/relationships/image" Target="cid:image004.jpg@01D5412C.4222C8C0" TargetMode="External"/><Relationship Id="rId34" Type="http://schemas.openxmlformats.org/officeDocument/2006/relationships/image" Target="cid:image010.png@01D5412C.4222C8C0" TargetMode="External"/><Relationship Id="rId42" Type="http://schemas.openxmlformats.org/officeDocument/2006/relationships/image" Target="media/image13.jpeg"/><Relationship Id="rId47" Type="http://schemas.openxmlformats.org/officeDocument/2006/relationships/image" Target="media/image14.png"/><Relationship Id="rId50" Type="http://schemas.openxmlformats.org/officeDocument/2006/relationships/image" Target="cid:image015.jpg@01D5412C.4222C8C0" TargetMode="External"/><Relationship Id="rId55" Type="http://schemas.openxmlformats.org/officeDocument/2006/relationships/image" Target="media/image18.gif"/><Relationship Id="rId63" Type="http://schemas.openxmlformats.org/officeDocument/2006/relationships/hyperlink" Target="https://www.youtube.com/user/ese1913" TargetMode="External"/><Relationship Id="rId68" Type="http://schemas.openxmlformats.org/officeDocument/2006/relationships/image" Target="cid:image022.gif@01D5412C.4222C8C0" TargetMode="External"/><Relationship Id="rId76" Type="http://schemas.openxmlformats.org/officeDocument/2006/relationships/image" Target="media/image25.png"/><Relationship Id="rId7" Type="http://schemas.openxmlformats.org/officeDocument/2006/relationships/hyperlink" Target="mailto:(ettekoven@ese.eur.nl" TargetMode="External"/><Relationship Id="rId71" Type="http://schemas.openxmlformats.org/officeDocument/2006/relationships/image" Target="cid:image023.gif@01D5412C.4222C8C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ur.nl/en/ese/news/verstager-stands-everything-irritates-trump" TargetMode="External"/><Relationship Id="rId29" Type="http://schemas.openxmlformats.org/officeDocument/2006/relationships/image" Target="cid:image008.jpg@01D5412C.4222C8C0" TargetMode="External"/><Relationship Id="rId11" Type="http://schemas.openxmlformats.org/officeDocument/2006/relationships/hyperlink" Target="https://doi.org/10.1016/j.biopsycho.2019.04.008" TargetMode="External"/><Relationship Id="rId24" Type="http://schemas.openxmlformats.org/officeDocument/2006/relationships/image" Target="media/image6.jpeg"/><Relationship Id="rId32" Type="http://schemas.openxmlformats.org/officeDocument/2006/relationships/hyperlink" Target="https://www.eur.nl/en/ese/news/carlos-riumallo-herl-wins-university-research-prize" TargetMode="External"/><Relationship Id="rId37" Type="http://schemas.openxmlformats.org/officeDocument/2006/relationships/image" Target="cid:image011.jpg@01D5412C.4222C8C0" TargetMode="External"/><Relationship Id="rId40" Type="http://schemas.openxmlformats.org/officeDocument/2006/relationships/image" Target="cid:image012.jpg@01D5412C.4222C8C0" TargetMode="External"/><Relationship Id="rId45" Type="http://schemas.openxmlformats.org/officeDocument/2006/relationships/hyperlink" Target="http://www.greenseat.nl" TargetMode="External"/><Relationship Id="rId53" Type="http://schemas.openxmlformats.org/officeDocument/2006/relationships/image" Target="media/image17.jpeg"/><Relationship Id="rId58" Type="http://schemas.openxmlformats.org/officeDocument/2006/relationships/image" Target="media/image19.gif"/><Relationship Id="rId66" Type="http://schemas.openxmlformats.org/officeDocument/2006/relationships/hyperlink" Target="https://twitter.com/erasmusese" TargetMode="External"/><Relationship Id="rId74" Type="http://schemas.openxmlformats.org/officeDocument/2006/relationships/image" Target="cid:image024.gif@01D5412C.4222C8C0" TargetMode="External"/><Relationship Id="rId79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image" Target="media/image20.gif"/><Relationship Id="rId10" Type="http://schemas.openxmlformats.org/officeDocument/2006/relationships/hyperlink" Target="https://www.eur.nl/en/ese/update-newsletter" TargetMode="External"/><Relationship Id="rId19" Type="http://schemas.openxmlformats.org/officeDocument/2006/relationships/hyperlink" Target="https://my.eur.nl/en/ese-employee/news/please-note-desktop-computers-lecture-rooms-are-switching-office-365-proplus?utm_source=staff&amp;utm_medium=email&amp;utm_campaign=190701_office_365" TargetMode="External"/><Relationship Id="rId31" Type="http://schemas.openxmlformats.org/officeDocument/2006/relationships/image" Target="cid:image009.jpg@01D5412C.4222C8C0" TargetMode="External"/><Relationship Id="rId44" Type="http://schemas.openxmlformats.org/officeDocument/2006/relationships/hyperlink" Target="http://www.myclimate.org" TargetMode="External"/><Relationship Id="rId52" Type="http://schemas.openxmlformats.org/officeDocument/2006/relationships/image" Target="cid:image016.jpg@01D5412C.4222C8C0" TargetMode="External"/><Relationship Id="rId60" Type="http://schemas.openxmlformats.org/officeDocument/2006/relationships/hyperlink" Target="https://www.linkedin.com/company/erasmus-school-of-economics" TargetMode="External"/><Relationship Id="rId65" Type="http://schemas.openxmlformats.org/officeDocument/2006/relationships/image" Target="cid:image021.gif@01D5412C.4222C8C0" TargetMode="External"/><Relationship Id="rId73" Type="http://schemas.openxmlformats.org/officeDocument/2006/relationships/image" Target="media/image24.gif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2.gif@01D5412C.4222C8C0" TargetMode="External"/><Relationship Id="rId14" Type="http://schemas.openxmlformats.org/officeDocument/2006/relationships/hyperlink" Target="https://www.eur.nl/en/ese/news/women-less-willing-travel-far-work-men" TargetMode="External"/><Relationship Id="rId22" Type="http://schemas.openxmlformats.org/officeDocument/2006/relationships/image" Target="media/image5.jpeg"/><Relationship Id="rId27" Type="http://schemas.openxmlformats.org/officeDocument/2006/relationships/image" Target="cid:image007.jpg@01D5412C.4222C8C0" TargetMode="External"/><Relationship Id="rId30" Type="http://schemas.openxmlformats.org/officeDocument/2006/relationships/image" Target="media/image9.jpeg"/><Relationship Id="rId35" Type="http://schemas.openxmlformats.org/officeDocument/2006/relationships/hyperlink" Target="https://www.eur.nl/en/ese/news/hans-van-kippersluis-appointed-professor-applied-economics" TargetMode="External"/><Relationship Id="rId43" Type="http://schemas.openxmlformats.org/officeDocument/2006/relationships/image" Target="cid:image013.jpg@01D5412C.4222C8C0" TargetMode="External"/><Relationship Id="rId48" Type="http://schemas.openxmlformats.org/officeDocument/2006/relationships/image" Target="cid:image014.png@01D5412C.4222C8C0" TargetMode="External"/><Relationship Id="rId56" Type="http://schemas.openxmlformats.org/officeDocument/2006/relationships/image" Target="cid:image018.gif@01D5412C.4222C8C0" TargetMode="External"/><Relationship Id="rId64" Type="http://schemas.openxmlformats.org/officeDocument/2006/relationships/image" Target="media/image21.gif"/><Relationship Id="rId69" Type="http://schemas.openxmlformats.org/officeDocument/2006/relationships/hyperlink" Target="https://www.instagram.com/erasmusese/" TargetMode="External"/><Relationship Id="rId77" Type="http://schemas.openxmlformats.org/officeDocument/2006/relationships/image" Target="cid:image025.png@01D5412C.4222C8C0" TargetMode="External"/><Relationship Id="rId8" Type="http://schemas.openxmlformats.org/officeDocument/2006/relationships/image" Target="media/image2.gif"/><Relationship Id="rId51" Type="http://schemas.openxmlformats.org/officeDocument/2006/relationships/image" Target="media/image16.jpeg"/><Relationship Id="rId72" Type="http://schemas.openxmlformats.org/officeDocument/2006/relationships/hyperlink" Target="https://www.snapchat.com/add/erasmus_es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1111/psyp.13390" TargetMode="External"/><Relationship Id="rId17" Type="http://schemas.openxmlformats.org/officeDocument/2006/relationships/image" Target="media/image3.jpeg"/><Relationship Id="rId25" Type="http://schemas.openxmlformats.org/officeDocument/2006/relationships/image" Target="cid:image006.jpg@01D5412C.4222C8C0" TargetMode="External"/><Relationship Id="rId33" Type="http://schemas.openxmlformats.org/officeDocument/2006/relationships/image" Target="media/image10.png"/><Relationship Id="rId38" Type="http://schemas.openxmlformats.org/officeDocument/2006/relationships/hyperlink" Target="https://www.eur.nl/en/ese/news/elbert-dijkgraaf-and-emiel-maasland-have-won-energy-journal-campbell-watkins-best-paper-award?utm_source=staff&amp;utm_medium=email&amp;utm_campaign=190701_dijkgraaf" TargetMode="External"/><Relationship Id="rId46" Type="http://schemas.openxmlformats.org/officeDocument/2006/relationships/hyperlink" Target="https://www.wander-lust.nl/how-to-actually-compensate-your-co2-when-flying/" TargetMode="External"/><Relationship Id="rId59" Type="http://schemas.openxmlformats.org/officeDocument/2006/relationships/image" Target="cid:image019.gif@01D5412C.4222C8C0" TargetMode="External"/><Relationship Id="rId67" Type="http://schemas.openxmlformats.org/officeDocument/2006/relationships/image" Target="media/image22.gif"/><Relationship Id="rId20" Type="http://schemas.openxmlformats.org/officeDocument/2006/relationships/image" Target="media/image4.jpeg"/><Relationship Id="rId41" Type="http://schemas.openxmlformats.org/officeDocument/2006/relationships/hyperlink" Target="https://my.eur.nl/en/ese-employee/news/restructuring-education-service-centre-osc?utm_source=staff&amp;utm_medium=email&amp;utm_campaign=190604_osc" TargetMode="External"/><Relationship Id="rId54" Type="http://schemas.openxmlformats.org/officeDocument/2006/relationships/image" Target="cid:image017.jpg@01D5412C.4222C8C0" TargetMode="External"/><Relationship Id="rId62" Type="http://schemas.openxmlformats.org/officeDocument/2006/relationships/image" Target="cid:image020.gif@01D5412C.4222C8C0" TargetMode="External"/><Relationship Id="rId70" Type="http://schemas.openxmlformats.org/officeDocument/2006/relationships/image" Target="media/image23.gif"/><Relationship Id="rId75" Type="http://schemas.openxmlformats.org/officeDocument/2006/relationships/hyperlink" Target="http://www.eur.nl/english/disclaimer/" TargetMode="External"/><Relationship Id="rId1" Type="http://schemas.openxmlformats.org/officeDocument/2006/relationships/numbering" Target="numbering.xml"/><Relationship Id="rId6" Type="http://schemas.openxmlformats.org/officeDocument/2006/relationships/image" Target="cid:image001.jpg@01D5412C.4222C8C0" TargetMode="External"/><Relationship Id="rId15" Type="http://schemas.openxmlformats.org/officeDocument/2006/relationships/hyperlink" Target="https://www.eur.nl/en/ese/news/increasing-popularity-womens-football" TargetMode="External"/><Relationship Id="rId23" Type="http://schemas.openxmlformats.org/officeDocument/2006/relationships/image" Target="cid:image005.jpg@01D5412C.4222C8C0" TargetMode="External"/><Relationship Id="rId28" Type="http://schemas.openxmlformats.org/officeDocument/2006/relationships/image" Target="media/image8.jpeg"/><Relationship Id="rId36" Type="http://schemas.openxmlformats.org/officeDocument/2006/relationships/image" Target="media/image11.jpeg"/><Relationship Id="rId49" Type="http://schemas.openxmlformats.org/officeDocument/2006/relationships/image" Target="media/image15.jpeg"/><Relationship Id="rId57" Type="http://schemas.openxmlformats.org/officeDocument/2006/relationships/hyperlink" Target="https://www.facebook.com/Erasmusschoolofeconomics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1573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Donovan</dc:creator>
  <cp:keywords/>
  <dc:description/>
  <cp:lastModifiedBy>Donovan</cp:lastModifiedBy>
  <cp:revision>1</cp:revision>
  <dcterms:created xsi:type="dcterms:W3CDTF">2019-07-23T14:08:00Z</dcterms:created>
  <dcterms:modified xsi:type="dcterms:W3CDTF">2019-07-23T14:09:00Z</dcterms:modified>
</cp:coreProperties>
</file>