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B4BD9" w14:textId="77777777" w:rsidR="004B2D40" w:rsidRPr="004B0BA5" w:rsidRDefault="00000000">
      <w:pPr>
        <w:spacing w:after="40"/>
        <w:jc w:val="center"/>
        <w:rPr>
          <w:lang w:val="en-US"/>
        </w:rPr>
      </w:pPr>
      <w:r w:rsidRPr="004B0BA5">
        <w:rPr>
          <w:b/>
          <w:bCs/>
          <w:color w:val="26333D"/>
          <w:sz w:val="44"/>
          <w:szCs w:val="44"/>
          <w:lang w:val="en-US"/>
        </w:rPr>
        <w:t>ENCODE2026 Conference</w:t>
      </w:r>
    </w:p>
    <w:p w14:paraId="68C9773B" w14:textId="77777777" w:rsidR="004B2D40" w:rsidRPr="004B0BA5" w:rsidRDefault="00000000">
      <w:pPr>
        <w:spacing w:after="300"/>
        <w:jc w:val="center"/>
        <w:rPr>
          <w:lang w:val="en-US"/>
        </w:rPr>
      </w:pPr>
      <w:r w:rsidRPr="004B0BA5">
        <w:rPr>
          <w:color w:val="5B6B73"/>
          <w:sz w:val="26"/>
          <w:szCs w:val="26"/>
          <w:lang w:val="en-US"/>
        </w:rPr>
        <w:t>Program &amp; Abstracts</w:t>
      </w:r>
    </w:p>
    <w:p w14:paraId="5C65E11A" w14:textId="77777777" w:rsidR="00871E74" w:rsidRPr="004B0BA5" w:rsidRDefault="00871E74">
      <w:pPr>
        <w:pStyle w:val="Heading1"/>
        <w:spacing w:before="100" w:after="200"/>
        <w:rPr>
          <w:bCs/>
          <w:color w:val="26333D"/>
          <w:sz w:val="30"/>
          <w:szCs w:val="30"/>
          <w:lang w:val="en-US"/>
        </w:rPr>
      </w:pPr>
    </w:p>
    <w:p w14:paraId="4BEB5B3D" w14:textId="77777777" w:rsidR="00871E74" w:rsidRPr="004B0BA5" w:rsidRDefault="00871E74">
      <w:pPr>
        <w:pStyle w:val="Heading1"/>
        <w:spacing w:before="100" w:after="200"/>
        <w:rPr>
          <w:bCs/>
          <w:color w:val="26333D"/>
          <w:sz w:val="30"/>
          <w:szCs w:val="30"/>
          <w:lang w:val="en-US"/>
        </w:rPr>
      </w:pPr>
    </w:p>
    <w:p w14:paraId="754333E7" w14:textId="51B2340F" w:rsidR="00871E74" w:rsidRPr="00871E74" w:rsidRDefault="00871E74" w:rsidP="00871E74">
      <w:pPr>
        <w:pStyle w:val="Heading1"/>
        <w:spacing w:before="100" w:after="200"/>
        <w:rPr>
          <w:lang w:val="en-US"/>
        </w:rPr>
      </w:pPr>
      <w:r w:rsidRPr="00871E74">
        <w:rPr>
          <w:bCs/>
          <w:color w:val="26333D"/>
          <w:sz w:val="30"/>
          <w:szCs w:val="30"/>
          <w:lang w:val="en-US"/>
        </w:rPr>
        <w:t>Venue</w:t>
      </w:r>
    </w:p>
    <w:p w14:paraId="710C15FC" w14:textId="2E936B72" w:rsidR="00871E74" w:rsidRPr="004B0BA5" w:rsidRDefault="00871E74" w:rsidP="00871E74">
      <w:pPr>
        <w:rPr>
          <w:lang w:val="en-US"/>
        </w:rPr>
      </w:pPr>
      <w:r w:rsidRPr="004B0BA5">
        <w:rPr>
          <w:lang w:val="en-US"/>
        </w:rPr>
        <w:t xml:space="preserve">Erasmus University Rotterdam, Campus </w:t>
      </w:r>
      <w:proofErr w:type="spellStart"/>
      <w:r w:rsidRPr="004B0BA5">
        <w:rPr>
          <w:lang w:val="en-US"/>
        </w:rPr>
        <w:t>Woudestijn</w:t>
      </w:r>
      <w:proofErr w:type="spellEnd"/>
      <w:r w:rsidR="00CA5AB4" w:rsidRPr="004B0BA5">
        <w:rPr>
          <w:lang w:val="en-US"/>
        </w:rPr>
        <w:t xml:space="preserve"> (</w:t>
      </w:r>
      <w:proofErr w:type="spellStart"/>
      <w:r w:rsidRPr="004B0BA5">
        <w:rPr>
          <w:lang w:val="en-US"/>
        </w:rPr>
        <w:t>Burgemeester</w:t>
      </w:r>
      <w:proofErr w:type="spellEnd"/>
      <w:r w:rsidRPr="004B0BA5">
        <w:rPr>
          <w:lang w:val="en-US"/>
        </w:rPr>
        <w:t xml:space="preserve"> </w:t>
      </w:r>
      <w:proofErr w:type="spellStart"/>
      <w:r w:rsidRPr="004B0BA5">
        <w:rPr>
          <w:lang w:val="en-US"/>
        </w:rPr>
        <w:t>Oudlaan</w:t>
      </w:r>
      <w:proofErr w:type="spellEnd"/>
      <w:r w:rsidRPr="004B0BA5">
        <w:rPr>
          <w:lang w:val="en-US"/>
        </w:rPr>
        <w:t xml:space="preserve"> </w:t>
      </w:r>
      <w:r w:rsidR="00CA5AB4" w:rsidRPr="004B0BA5">
        <w:rPr>
          <w:lang w:val="en-US"/>
        </w:rPr>
        <w:t>50, Rotterdam)</w:t>
      </w:r>
    </w:p>
    <w:p w14:paraId="025DDCDC" w14:textId="127E5CFF" w:rsidR="00CA5AB4" w:rsidRDefault="00CA5AB4" w:rsidP="00871E74">
      <w:pPr>
        <w:rPr>
          <w:lang w:val="en-US"/>
        </w:rPr>
      </w:pPr>
      <w:r>
        <w:rPr>
          <w:lang w:val="en-US"/>
        </w:rPr>
        <w:t xml:space="preserve">The conference takes place in </w:t>
      </w:r>
      <w:r w:rsidR="004B0BA5">
        <w:rPr>
          <w:lang w:val="en-US"/>
        </w:rPr>
        <w:t>different buildings</w:t>
      </w:r>
      <w:r>
        <w:rPr>
          <w:lang w:val="en-US"/>
        </w:rPr>
        <w:t xml:space="preserve">; see </w:t>
      </w:r>
      <w:hyperlink r:id="rId5" w:history="1">
        <w:r w:rsidRPr="00CA5AB4">
          <w:rPr>
            <w:rStyle w:val="Hyperlink"/>
            <w:lang w:val="en-US"/>
          </w:rPr>
          <w:t>this campus map</w:t>
        </w:r>
      </w:hyperlink>
      <w:r w:rsidR="004B0BA5" w:rsidRPr="004B0BA5">
        <w:rPr>
          <w:lang w:val="en-US"/>
        </w:rPr>
        <w:t xml:space="preserve"> </w:t>
      </w:r>
      <w:r w:rsidR="004B0BA5">
        <w:rPr>
          <w:lang w:val="en-US"/>
        </w:rPr>
        <w:t>for their location</w:t>
      </w:r>
      <w:r>
        <w:rPr>
          <w:lang w:val="en-US"/>
        </w:rPr>
        <w:t>. Lunch and coffee are always served in or just next to the room where talks take place.</w:t>
      </w:r>
    </w:p>
    <w:p w14:paraId="319F74DA" w14:textId="127C3983" w:rsidR="00CA5AB4" w:rsidRPr="00871E74" w:rsidRDefault="00CA5AB4" w:rsidP="00871E74">
      <w:pPr>
        <w:rPr>
          <w:lang w:val="en-US"/>
        </w:rPr>
      </w:pPr>
      <w:r>
        <w:rPr>
          <w:lang w:val="en-US"/>
        </w:rPr>
        <w:t xml:space="preserve">How to get there? See </w:t>
      </w:r>
      <w:hyperlink r:id="rId6" w:history="1">
        <w:r w:rsidRPr="00CA5AB4">
          <w:rPr>
            <w:rStyle w:val="Hyperlink"/>
            <w:lang w:val="en-US"/>
          </w:rPr>
          <w:t>this page</w:t>
        </w:r>
      </w:hyperlink>
      <w:r>
        <w:rPr>
          <w:lang w:val="en-US"/>
        </w:rPr>
        <w:t xml:space="preserve">. Please check this page for any recent changes in public transport. </w:t>
      </w:r>
    </w:p>
    <w:p w14:paraId="12BDDEDC" w14:textId="77777777" w:rsidR="00871E74" w:rsidRPr="00871E74" w:rsidRDefault="00871E74">
      <w:pPr>
        <w:pStyle w:val="Heading1"/>
        <w:spacing w:before="100" w:after="200"/>
        <w:rPr>
          <w:bCs/>
          <w:color w:val="26333D"/>
          <w:sz w:val="30"/>
          <w:szCs w:val="30"/>
          <w:lang w:val="en-US"/>
        </w:rPr>
      </w:pPr>
    </w:p>
    <w:p w14:paraId="13F00381" w14:textId="4B7997B5" w:rsidR="004B2D40" w:rsidRPr="00871E74" w:rsidRDefault="00000000">
      <w:pPr>
        <w:pStyle w:val="Heading1"/>
        <w:spacing w:before="100" w:after="200"/>
        <w:rPr>
          <w:lang w:val="en-US"/>
        </w:rPr>
      </w:pPr>
      <w:r w:rsidRPr="00871E74">
        <w:rPr>
          <w:bCs/>
          <w:color w:val="26333D"/>
          <w:sz w:val="30"/>
          <w:szCs w:val="30"/>
          <w:lang w:val="en-US"/>
        </w:rPr>
        <w:t>Schedule</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6"/>
      </w:tblGrid>
      <w:tr w:rsidR="004B2D40" w14:paraId="4E22F7F1" w14:textId="77777777">
        <w:tc>
          <w:tcPr>
            <w:tcW w:w="0" w:type="auto"/>
            <w:tcBorders>
              <w:top w:val="none" w:sz="0" w:space="0" w:color="FFFFFF"/>
              <w:left w:val="none" w:sz="0" w:space="0" w:color="FFFFFF"/>
              <w:bottom w:val="none" w:sz="0" w:space="0" w:color="FFFFFF"/>
              <w:right w:val="none" w:sz="0" w:space="0" w:color="FFFFFF"/>
            </w:tcBorders>
            <w:shd w:val="clear" w:color="auto" w:fill="2E6E8E"/>
            <w:tcMar>
              <w:top w:w="160" w:type="dxa"/>
              <w:left w:w="220" w:type="dxa"/>
              <w:bottom w:w="160" w:type="dxa"/>
              <w:right w:w="220" w:type="dxa"/>
            </w:tcMar>
            <w:vAlign w:val="center"/>
          </w:tcPr>
          <w:p w14:paraId="79C32302" w14:textId="6B8A3E90" w:rsidR="005A2244" w:rsidRDefault="00000000">
            <w:proofErr w:type="spellStart"/>
            <w:r>
              <w:rPr>
                <w:b/>
                <w:sz w:val="21"/>
              </w:rPr>
              <w:t>Wednesday</w:t>
            </w:r>
            <w:proofErr w:type="spellEnd"/>
            <w:r>
              <w:rPr>
                <w:b/>
                <w:sz w:val="21"/>
              </w:rPr>
              <w:t xml:space="preserve"> 11 November</w:t>
            </w:r>
          </w:p>
        </w:tc>
      </w:tr>
    </w:tbl>
    <w:p w14:paraId="2E8EA7E7" w14:textId="77777777" w:rsidR="004B2D40" w:rsidRDefault="004B2D40">
      <w:pPr>
        <w:spacing w:after="60"/>
      </w:pPr>
    </w:p>
    <w:tbl>
      <w:tblPr>
        <w:tblW w:w="5000" w:type="pct"/>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2"/>
        <w:gridCol w:w="8969"/>
        <w:gridCol w:w="425"/>
      </w:tblGrid>
      <w:tr w:rsidR="00871E74" w:rsidRPr="00C14936" w14:paraId="4B2466AE" w14:textId="77777777" w:rsidTr="00871E74">
        <w:trPr>
          <w:jc w:val="center"/>
        </w:trPr>
        <w:tc>
          <w:tcPr>
            <w:tcW w:w="812" w:type="dxa"/>
            <w:tcBorders>
              <w:top w:val="single" w:sz="4" w:space="0" w:color="auto"/>
              <w:left w:val="nil"/>
              <w:bottom w:val="single" w:sz="2" w:space="0" w:color="D9D9D9"/>
              <w:right w:val="none" w:sz="0" w:space="0" w:color="FFFFFF"/>
            </w:tcBorders>
            <w:shd w:val="clear" w:color="auto" w:fill="FFFFFF"/>
            <w:tcMar>
              <w:top w:w="100" w:type="dxa"/>
              <w:left w:w="120" w:type="dxa"/>
              <w:bottom w:w="100" w:type="dxa"/>
              <w:right w:w="80" w:type="dxa"/>
            </w:tcMar>
          </w:tcPr>
          <w:p w14:paraId="31CC0A1B" w14:textId="77777777" w:rsidR="00871E74" w:rsidRDefault="00871E74">
            <w:r>
              <w:rPr>
                <w:b/>
                <w:sz w:val="17"/>
              </w:rPr>
              <w:t>9h30</w:t>
            </w:r>
          </w:p>
        </w:tc>
        <w:tc>
          <w:tcPr>
            <w:tcW w:w="8969" w:type="dxa"/>
            <w:tcBorders>
              <w:top w:val="single" w:sz="4" w:space="0" w:color="auto"/>
              <w:left w:val="single" w:sz="2" w:space="0" w:color="2E6E8E"/>
              <w:bottom w:val="single" w:sz="2" w:space="0" w:color="D9D9D9"/>
              <w:right w:val="none" w:sz="0" w:space="0" w:color="FFFFFF"/>
            </w:tcBorders>
            <w:shd w:val="clear" w:color="auto" w:fill="FFFFFF"/>
            <w:tcMar>
              <w:top w:w="100" w:type="dxa"/>
              <w:left w:w="140" w:type="dxa"/>
              <w:bottom w:w="100" w:type="dxa"/>
              <w:right w:w="120" w:type="dxa"/>
            </w:tcMar>
          </w:tcPr>
          <w:p w14:paraId="7BAC88B1" w14:textId="77777777" w:rsidR="00871E74" w:rsidRDefault="00871E74">
            <w:proofErr w:type="spellStart"/>
            <w:r>
              <w:rPr>
                <w:b/>
                <w:sz w:val="17"/>
              </w:rPr>
              <w:t>Welcome</w:t>
            </w:r>
            <w:proofErr w:type="spellEnd"/>
            <w:r>
              <w:rPr>
                <w:b/>
                <w:sz w:val="17"/>
              </w:rPr>
              <w:t xml:space="preserve"> &amp; Opening</w:t>
            </w:r>
          </w:p>
        </w:tc>
        <w:tc>
          <w:tcPr>
            <w:tcW w:w="425" w:type="dxa"/>
            <w:vMerge w:val="restart"/>
            <w:tcBorders>
              <w:top w:val="single" w:sz="4" w:space="0" w:color="auto"/>
              <w:bottom w:val="single" w:sz="4" w:space="0" w:color="auto"/>
              <w:right w:val="nil"/>
            </w:tcBorders>
            <w:textDirection w:val="tbRl"/>
          </w:tcPr>
          <w:p w14:paraId="35C54D1A" w14:textId="5C764BFB" w:rsidR="00871E74" w:rsidRPr="004B0BA5" w:rsidRDefault="00871E74" w:rsidP="00871E74">
            <w:pPr>
              <w:ind w:left="113" w:right="113"/>
              <w:rPr>
                <w:color w:val="C00000"/>
                <w:lang w:val="en-US"/>
              </w:rPr>
            </w:pPr>
            <w:r w:rsidRPr="004B0BA5">
              <w:rPr>
                <w:color w:val="C00000"/>
                <w:sz w:val="16"/>
                <w:lang w:val="en-US"/>
              </w:rPr>
              <w:t xml:space="preserve">@Van der Goot </w:t>
            </w:r>
            <w:r w:rsidR="004B0BA5" w:rsidRPr="004B0BA5">
              <w:rPr>
                <w:color w:val="C00000"/>
                <w:sz w:val="16"/>
                <w:lang w:val="en-US"/>
              </w:rPr>
              <w:t xml:space="preserve">(M building), room </w:t>
            </w:r>
            <w:r w:rsidRPr="004B0BA5">
              <w:rPr>
                <w:color w:val="C00000"/>
                <w:sz w:val="16"/>
                <w:lang w:val="en-US"/>
              </w:rPr>
              <w:t>2-10</w:t>
            </w:r>
          </w:p>
          <w:p w14:paraId="2504FB2B" w14:textId="4E50AC88" w:rsidR="00871E74" w:rsidRPr="004B0BA5" w:rsidRDefault="00871E74" w:rsidP="00871E74">
            <w:pPr>
              <w:ind w:left="113" w:right="113"/>
              <w:rPr>
                <w:color w:val="C00000"/>
                <w:lang w:val="en-US"/>
              </w:rPr>
            </w:pPr>
          </w:p>
        </w:tc>
      </w:tr>
      <w:tr w:rsidR="00871E74" w:rsidRPr="00C14936" w14:paraId="40CEFCF2" w14:textId="77777777" w:rsidTr="00871E74">
        <w:trPr>
          <w:jc w:val="center"/>
        </w:trPr>
        <w:tc>
          <w:tcPr>
            <w:tcW w:w="812" w:type="dxa"/>
            <w:tcBorders>
              <w:top w:val="single" w:sz="2" w:space="0" w:color="D9D9D9"/>
              <w:left w:val="none" w:sz="0" w:space="0" w:color="FFFFFF"/>
              <w:bottom w:val="single" w:sz="2" w:space="0" w:color="D9D9D9"/>
              <w:right w:val="none" w:sz="0" w:space="0" w:color="FFFFFF"/>
            </w:tcBorders>
            <w:shd w:val="clear" w:color="auto" w:fill="E0E9EE"/>
            <w:tcMar>
              <w:top w:w="100" w:type="dxa"/>
              <w:left w:w="120" w:type="dxa"/>
              <w:bottom w:w="100" w:type="dxa"/>
              <w:right w:w="80" w:type="dxa"/>
            </w:tcMar>
          </w:tcPr>
          <w:p w14:paraId="4E83F4AE" w14:textId="77777777" w:rsidR="00871E74" w:rsidRDefault="00871E74">
            <w:r>
              <w:rPr>
                <w:b/>
                <w:sz w:val="17"/>
              </w:rPr>
              <w:t>9h45</w:t>
            </w:r>
          </w:p>
        </w:tc>
        <w:tc>
          <w:tcPr>
            <w:tcW w:w="8969" w:type="dxa"/>
            <w:tcBorders>
              <w:top w:val="single" w:sz="2" w:space="0" w:color="D9D9D9"/>
              <w:left w:val="single" w:sz="2" w:space="0" w:color="2E6E8E"/>
              <w:bottom w:val="single" w:sz="2" w:space="0" w:color="D9D9D9"/>
              <w:right w:val="none" w:sz="0" w:space="0" w:color="FFFFFF"/>
            </w:tcBorders>
            <w:shd w:val="clear" w:color="auto" w:fill="E0E9EE"/>
            <w:tcMar>
              <w:top w:w="100" w:type="dxa"/>
              <w:left w:w="140" w:type="dxa"/>
              <w:bottom w:w="100" w:type="dxa"/>
              <w:right w:w="120" w:type="dxa"/>
            </w:tcMar>
          </w:tcPr>
          <w:p w14:paraId="374E9E63" w14:textId="0766BA3C" w:rsidR="00871E74" w:rsidRDefault="00871E74">
            <w:proofErr w:type="spellStart"/>
            <w:r>
              <w:rPr>
                <w:b/>
                <w:sz w:val="17"/>
              </w:rPr>
              <w:t>Keynote</w:t>
            </w:r>
            <w:proofErr w:type="spellEnd"/>
            <w:r>
              <w:rPr>
                <w:b/>
                <w:sz w:val="17"/>
              </w:rPr>
              <w:t>: Hein Duijf (Universiteit Utrecht)</w:t>
            </w:r>
            <w:r w:rsidR="0036769F">
              <w:rPr>
                <w:b/>
                <w:sz w:val="17"/>
              </w:rPr>
              <w:t xml:space="preserve">                                                                  </w:t>
            </w:r>
            <w:proofErr w:type="spellStart"/>
            <w:r w:rsidR="0036769F" w:rsidRPr="0036769F">
              <w:rPr>
                <w:bCs/>
                <w:color w:val="A5A5A5" w:themeColor="accent3"/>
                <w:sz w:val="17"/>
              </w:rPr>
              <w:t>chair</w:t>
            </w:r>
            <w:proofErr w:type="spellEnd"/>
            <w:r w:rsidR="0036769F" w:rsidRPr="0036769F">
              <w:rPr>
                <w:bCs/>
                <w:color w:val="A5A5A5" w:themeColor="accent3"/>
                <w:sz w:val="17"/>
              </w:rPr>
              <w:t>: Frederik Van De Putte</w:t>
            </w:r>
          </w:p>
          <w:p w14:paraId="5E1F1A5F" w14:textId="77777777" w:rsidR="00871E74" w:rsidRPr="00871E74" w:rsidRDefault="00871E74">
            <w:pPr>
              <w:rPr>
                <w:lang w:val="en-US"/>
              </w:rPr>
            </w:pPr>
            <w:r w:rsidRPr="00871E74">
              <w:rPr>
                <w:i/>
                <w:sz w:val="17"/>
                <w:lang w:val="en-US"/>
              </w:rPr>
              <w:t xml:space="preserve">Epistemic democracy versus </w:t>
            </w:r>
            <w:proofErr w:type="spellStart"/>
            <w:r w:rsidRPr="00871E74">
              <w:rPr>
                <w:i/>
                <w:sz w:val="17"/>
                <w:lang w:val="en-US"/>
              </w:rPr>
              <w:t>epistocracy</w:t>
            </w:r>
            <w:proofErr w:type="spellEnd"/>
            <w:r w:rsidRPr="00871E74">
              <w:rPr>
                <w:i/>
                <w:sz w:val="17"/>
                <w:lang w:val="en-US"/>
              </w:rPr>
              <w:t>: A simulation study</w:t>
            </w:r>
          </w:p>
        </w:tc>
        <w:tc>
          <w:tcPr>
            <w:tcW w:w="425" w:type="dxa"/>
            <w:vMerge/>
            <w:tcBorders>
              <w:top w:val="single" w:sz="4" w:space="0" w:color="auto"/>
              <w:bottom w:val="single" w:sz="4" w:space="0" w:color="auto"/>
              <w:right w:val="nil"/>
            </w:tcBorders>
          </w:tcPr>
          <w:p w14:paraId="6A43A99E" w14:textId="3B9A9EA7" w:rsidR="00871E74" w:rsidRPr="00871E74" w:rsidRDefault="00871E74" w:rsidP="00C72F86">
            <w:pPr>
              <w:rPr>
                <w:color w:val="C00000"/>
                <w:lang w:val="en-US"/>
              </w:rPr>
            </w:pPr>
          </w:p>
        </w:tc>
      </w:tr>
      <w:tr w:rsidR="00871E74" w14:paraId="6E8B52DB" w14:textId="77777777" w:rsidTr="00871E74">
        <w:trPr>
          <w:jc w:val="center"/>
        </w:trPr>
        <w:tc>
          <w:tcPr>
            <w:tcW w:w="812" w:type="dxa"/>
            <w:tcBorders>
              <w:top w:val="single" w:sz="2" w:space="0" w:color="D9D9D9"/>
              <w:left w:val="none" w:sz="0" w:space="0" w:color="FFFFFF"/>
              <w:bottom w:val="single" w:sz="2" w:space="0" w:color="D9D9D9"/>
              <w:right w:val="none" w:sz="0" w:space="0" w:color="FFFFFF"/>
            </w:tcBorders>
            <w:shd w:val="clear" w:color="auto" w:fill="F2F2F2"/>
            <w:tcMar>
              <w:top w:w="100" w:type="dxa"/>
              <w:left w:w="120" w:type="dxa"/>
              <w:bottom w:w="100" w:type="dxa"/>
              <w:right w:w="80" w:type="dxa"/>
            </w:tcMar>
          </w:tcPr>
          <w:p w14:paraId="5FCAB4FE" w14:textId="77777777" w:rsidR="00871E74" w:rsidRDefault="00871E74">
            <w:r>
              <w:rPr>
                <w:b/>
                <w:sz w:val="17"/>
              </w:rPr>
              <w:t>10h45</w:t>
            </w:r>
          </w:p>
        </w:tc>
        <w:tc>
          <w:tcPr>
            <w:tcW w:w="8969" w:type="dxa"/>
            <w:tcBorders>
              <w:top w:val="single" w:sz="2" w:space="0" w:color="D9D9D9"/>
              <w:left w:val="single" w:sz="2" w:space="0" w:color="2E6E8E"/>
              <w:bottom w:val="single" w:sz="2" w:space="0" w:color="D9D9D9"/>
              <w:right w:val="none" w:sz="0" w:space="0" w:color="FFFFFF"/>
            </w:tcBorders>
            <w:shd w:val="clear" w:color="auto" w:fill="F2F2F2"/>
            <w:tcMar>
              <w:top w:w="100" w:type="dxa"/>
              <w:left w:w="140" w:type="dxa"/>
              <w:bottom w:w="100" w:type="dxa"/>
              <w:right w:w="120" w:type="dxa"/>
            </w:tcMar>
          </w:tcPr>
          <w:p w14:paraId="7E8E4F62" w14:textId="77777777" w:rsidR="00871E74" w:rsidRPr="00CA5AB4" w:rsidRDefault="00871E74">
            <w:pPr>
              <w:rPr>
                <w:bCs/>
              </w:rPr>
            </w:pPr>
            <w:r w:rsidRPr="00CA5AB4">
              <w:rPr>
                <w:bCs/>
                <w:sz w:val="17"/>
              </w:rPr>
              <w:t>Coffee break</w:t>
            </w:r>
          </w:p>
        </w:tc>
        <w:tc>
          <w:tcPr>
            <w:tcW w:w="425" w:type="dxa"/>
            <w:vMerge/>
            <w:tcBorders>
              <w:top w:val="single" w:sz="4" w:space="0" w:color="auto"/>
              <w:bottom w:val="single" w:sz="4" w:space="0" w:color="auto"/>
              <w:right w:val="nil"/>
            </w:tcBorders>
          </w:tcPr>
          <w:p w14:paraId="34885E02" w14:textId="63F6F968" w:rsidR="00871E74" w:rsidRPr="00871E74" w:rsidRDefault="00871E74" w:rsidP="00C72F86">
            <w:pPr>
              <w:rPr>
                <w:color w:val="C00000"/>
              </w:rPr>
            </w:pPr>
          </w:p>
        </w:tc>
      </w:tr>
      <w:tr w:rsidR="00871E74" w:rsidRPr="00C14936" w14:paraId="5F13AF95" w14:textId="77777777" w:rsidTr="00871E74">
        <w:trPr>
          <w:jc w:val="center"/>
        </w:trPr>
        <w:tc>
          <w:tcPr>
            <w:tcW w:w="812" w:type="dxa"/>
            <w:tcBorders>
              <w:top w:val="single" w:sz="2" w:space="0" w:color="D9D9D9"/>
              <w:left w:val="none" w:sz="0" w:space="0" w:color="FFFFFF"/>
              <w:bottom w:val="single" w:sz="2" w:space="0" w:color="D9D9D9"/>
              <w:right w:val="none" w:sz="0" w:space="0" w:color="FFFFFF"/>
            </w:tcBorders>
            <w:shd w:val="clear" w:color="auto" w:fill="FFFFFF"/>
            <w:tcMar>
              <w:top w:w="100" w:type="dxa"/>
              <w:left w:w="120" w:type="dxa"/>
              <w:bottom w:w="100" w:type="dxa"/>
              <w:right w:w="80" w:type="dxa"/>
            </w:tcMar>
          </w:tcPr>
          <w:p w14:paraId="71F69D7B" w14:textId="77777777" w:rsidR="00871E74" w:rsidRDefault="00871E74">
            <w:r>
              <w:rPr>
                <w:b/>
                <w:sz w:val="17"/>
              </w:rPr>
              <w:t>11h00</w:t>
            </w:r>
          </w:p>
        </w:tc>
        <w:tc>
          <w:tcPr>
            <w:tcW w:w="8969" w:type="dxa"/>
            <w:tcBorders>
              <w:top w:val="single" w:sz="2" w:space="0" w:color="D9D9D9"/>
              <w:left w:val="single" w:sz="2" w:space="0" w:color="2E6E8E"/>
              <w:bottom w:val="single" w:sz="2" w:space="0" w:color="D9D9D9"/>
              <w:right w:val="none" w:sz="0" w:space="0" w:color="FFFFFF"/>
            </w:tcBorders>
            <w:shd w:val="clear" w:color="auto" w:fill="FFFFFF"/>
            <w:tcMar>
              <w:top w:w="100" w:type="dxa"/>
              <w:left w:w="140" w:type="dxa"/>
              <w:bottom w:w="100" w:type="dxa"/>
              <w:right w:w="120" w:type="dxa"/>
            </w:tcMar>
          </w:tcPr>
          <w:p w14:paraId="1D04768A" w14:textId="77777777" w:rsidR="00871E74" w:rsidRPr="00871E74" w:rsidRDefault="00871E74">
            <w:pPr>
              <w:rPr>
                <w:lang w:val="en-US"/>
              </w:rPr>
            </w:pPr>
            <w:r w:rsidRPr="00871E74">
              <w:rPr>
                <w:b/>
                <w:sz w:val="17"/>
                <w:lang w:val="en-US"/>
              </w:rPr>
              <w:t>Contributed talks I: Deliberative Democracy &amp; Social Choice</w:t>
            </w:r>
          </w:p>
          <w:p w14:paraId="4F44538A" w14:textId="5D16DD48" w:rsidR="00871E74" w:rsidRPr="00871E74" w:rsidRDefault="00871E74">
            <w:pPr>
              <w:rPr>
                <w:lang w:val="en-US"/>
              </w:rPr>
            </w:pPr>
            <w:r w:rsidRPr="00871E74">
              <w:rPr>
                <w:sz w:val="17"/>
                <w:lang w:val="en-US"/>
              </w:rPr>
              <w:t>Rosa Bauer &amp; Adri</w:t>
            </w:r>
            <w:r w:rsidR="00AF77D0">
              <w:rPr>
                <w:sz w:val="17"/>
                <w:lang w:val="en-US"/>
              </w:rPr>
              <w:t>a</w:t>
            </w:r>
            <w:r w:rsidRPr="00871E74">
              <w:rPr>
                <w:sz w:val="17"/>
                <w:lang w:val="en-US"/>
              </w:rPr>
              <w:t>n Haret (LMU Munich) —</w:t>
            </w:r>
            <w:r w:rsidRPr="00871E74">
              <w:rPr>
                <w:i/>
                <w:sz w:val="17"/>
                <w:lang w:val="en-US"/>
              </w:rPr>
              <w:t>You All Need to Hear This: Wisdom of Crowds with Deliberating Jurors</w:t>
            </w:r>
          </w:p>
          <w:p w14:paraId="0B45B2F2" w14:textId="4EC2480A" w:rsidR="00871E74" w:rsidRPr="00871E74" w:rsidRDefault="00871E74">
            <w:pPr>
              <w:rPr>
                <w:lang w:val="en-US"/>
              </w:rPr>
            </w:pPr>
            <w:r>
              <w:rPr>
                <w:sz w:val="17"/>
                <w:lang w:val="en-US"/>
              </w:rPr>
              <w:t>Ulle Endriss</w:t>
            </w:r>
            <w:r w:rsidRPr="00871E74">
              <w:rPr>
                <w:sz w:val="17"/>
                <w:lang w:val="en-US"/>
              </w:rPr>
              <w:t xml:space="preserve"> (Universiteit van Amsterdam) — </w:t>
            </w:r>
            <w:r w:rsidRPr="00871E74">
              <w:rPr>
                <w:i/>
                <w:sz w:val="17"/>
                <w:lang w:val="en-US"/>
              </w:rPr>
              <w:t>Single-</w:t>
            </w:r>
            <w:proofErr w:type="spellStart"/>
            <w:r w:rsidRPr="00871E74">
              <w:rPr>
                <w:i/>
                <w:sz w:val="17"/>
                <w:lang w:val="en-US"/>
              </w:rPr>
              <w:t>Peakedness</w:t>
            </w:r>
            <w:proofErr w:type="spellEnd"/>
            <w:r w:rsidRPr="00871E74">
              <w:rPr>
                <w:i/>
                <w:sz w:val="17"/>
                <w:lang w:val="en-US"/>
              </w:rPr>
              <w:t xml:space="preserve"> for Incomplete Preferences and Meta-Consensus from Deliberation</w:t>
            </w:r>
          </w:p>
        </w:tc>
        <w:tc>
          <w:tcPr>
            <w:tcW w:w="425" w:type="dxa"/>
            <w:vMerge/>
            <w:tcBorders>
              <w:top w:val="single" w:sz="4" w:space="0" w:color="auto"/>
              <w:bottom w:val="single" w:sz="4" w:space="0" w:color="auto"/>
              <w:right w:val="nil"/>
            </w:tcBorders>
          </w:tcPr>
          <w:p w14:paraId="0BEEB147" w14:textId="5D720A41" w:rsidR="00871E74" w:rsidRPr="00871E74" w:rsidRDefault="00871E74" w:rsidP="00C72F86">
            <w:pPr>
              <w:rPr>
                <w:color w:val="C00000"/>
                <w:lang w:val="en-US"/>
              </w:rPr>
            </w:pPr>
          </w:p>
        </w:tc>
      </w:tr>
      <w:tr w:rsidR="00871E74" w14:paraId="327436D3" w14:textId="77777777" w:rsidTr="00871E74">
        <w:trPr>
          <w:jc w:val="center"/>
        </w:trPr>
        <w:tc>
          <w:tcPr>
            <w:tcW w:w="812" w:type="dxa"/>
            <w:tcBorders>
              <w:top w:val="single" w:sz="2" w:space="0" w:color="D9D9D9"/>
              <w:left w:val="none" w:sz="0" w:space="0" w:color="FFFFFF"/>
              <w:bottom w:val="single" w:sz="2" w:space="0" w:color="D9D9D9"/>
              <w:right w:val="none" w:sz="0" w:space="0" w:color="FFFFFF"/>
            </w:tcBorders>
            <w:shd w:val="clear" w:color="auto" w:fill="F2F2F2"/>
            <w:tcMar>
              <w:top w:w="100" w:type="dxa"/>
              <w:left w:w="120" w:type="dxa"/>
              <w:bottom w:w="100" w:type="dxa"/>
              <w:right w:w="80" w:type="dxa"/>
            </w:tcMar>
          </w:tcPr>
          <w:p w14:paraId="1143C937" w14:textId="77777777" w:rsidR="00871E74" w:rsidRDefault="00871E74">
            <w:r>
              <w:rPr>
                <w:b/>
                <w:sz w:val="17"/>
              </w:rPr>
              <w:t>12h00</w:t>
            </w:r>
          </w:p>
        </w:tc>
        <w:tc>
          <w:tcPr>
            <w:tcW w:w="8969" w:type="dxa"/>
            <w:tcBorders>
              <w:top w:val="single" w:sz="2" w:space="0" w:color="D9D9D9"/>
              <w:left w:val="single" w:sz="2" w:space="0" w:color="2E6E8E"/>
              <w:bottom w:val="single" w:sz="2" w:space="0" w:color="D9D9D9"/>
              <w:right w:val="none" w:sz="0" w:space="0" w:color="FFFFFF"/>
            </w:tcBorders>
            <w:shd w:val="clear" w:color="auto" w:fill="F2F2F2"/>
            <w:tcMar>
              <w:top w:w="100" w:type="dxa"/>
              <w:left w:w="140" w:type="dxa"/>
              <w:bottom w:w="100" w:type="dxa"/>
              <w:right w:w="120" w:type="dxa"/>
            </w:tcMar>
          </w:tcPr>
          <w:p w14:paraId="708AED89" w14:textId="77777777" w:rsidR="00871E74" w:rsidRPr="00DC7D2B" w:rsidRDefault="00871E74">
            <w:pPr>
              <w:rPr>
                <w:bCs/>
              </w:rPr>
            </w:pPr>
            <w:r w:rsidRPr="00DC7D2B">
              <w:rPr>
                <w:bCs/>
                <w:sz w:val="17"/>
              </w:rPr>
              <w:t>Lunch break</w:t>
            </w:r>
          </w:p>
        </w:tc>
        <w:tc>
          <w:tcPr>
            <w:tcW w:w="425" w:type="dxa"/>
            <w:vMerge/>
            <w:tcBorders>
              <w:top w:val="single" w:sz="4" w:space="0" w:color="auto"/>
              <w:bottom w:val="single" w:sz="4" w:space="0" w:color="auto"/>
              <w:right w:val="nil"/>
            </w:tcBorders>
          </w:tcPr>
          <w:p w14:paraId="1CC7A791" w14:textId="62A83776" w:rsidR="00871E74" w:rsidRPr="00871E74" w:rsidRDefault="00871E74" w:rsidP="00C72F86">
            <w:pPr>
              <w:rPr>
                <w:color w:val="C00000"/>
              </w:rPr>
            </w:pPr>
          </w:p>
        </w:tc>
      </w:tr>
      <w:tr w:rsidR="00871E74" w:rsidRPr="00C14936" w14:paraId="76F56A37" w14:textId="77777777" w:rsidTr="00871E74">
        <w:trPr>
          <w:jc w:val="center"/>
        </w:trPr>
        <w:tc>
          <w:tcPr>
            <w:tcW w:w="812" w:type="dxa"/>
            <w:tcBorders>
              <w:top w:val="single" w:sz="2" w:space="0" w:color="D9D9D9"/>
              <w:left w:val="none" w:sz="0" w:space="0" w:color="FFFFFF"/>
              <w:bottom w:val="single" w:sz="2" w:space="0" w:color="D9D9D9"/>
              <w:right w:val="none" w:sz="0" w:space="0" w:color="FFFFFF"/>
            </w:tcBorders>
            <w:shd w:val="clear" w:color="auto" w:fill="FFFFFF"/>
            <w:tcMar>
              <w:top w:w="100" w:type="dxa"/>
              <w:left w:w="120" w:type="dxa"/>
              <w:bottom w:w="100" w:type="dxa"/>
              <w:right w:w="80" w:type="dxa"/>
            </w:tcMar>
          </w:tcPr>
          <w:p w14:paraId="2F680BA1" w14:textId="77777777" w:rsidR="00871E74" w:rsidRDefault="00871E74">
            <w:r>
              <w:rPr>
                <w:b/>
                <w:sz w:val="17"/>
              </w:rPr>
              <w:t>13h00</w:t>
            </w:r>
          </w:p>
        </w:tc>
        <w:tc>
          <w:tcPr>
            <w:tcW w:w="8969" w:type="dxa"/>
            <w:tcBorders>
              <w:top w:val="single" w:sz="2" w:space="0" w:color="D9D9D9"/>
              <w:left w:val="single" w:sz="2" w:space="0" w:color="2E6E8E"/>
              <w:bottom w:val="single" w:sz="2" w:space="0" w:color="D9D9D9"/>
              <w:right w:val="none" w:sz="0" w:space="0" w:color="FFFFFF"/>
            </w:tcBorders>
            <w:shd w:val="clear" w:color="auto" w:fill="FFFFFF"/>
            <w:tcMar>
              <w:top w:w="100" w:type="dxa"/>
              <w:left w:w="140" w:type="dxa"/>
              <w:bottom w:w="100" w:type="dxa"/>
              <w:right w:w="120" w:type="dxa"/>
            </w:tcMar>
          </w:tcPr>
          <w:p w14:paraId="4592E433" w14:textId="77777777" w:rsidR="00871E74" w:rsidRPr="00871E74" w:rsidRDefault="00871E74">
            <w:pPr>
              <w:rPr>
                <w:lang w:val="en-US"/>
              </w:rPr>
            </w:pPr>
            <w:r w:rsidRPr="00871E74">
              <w:rPr>
                <w:b/>
                <w:sz w:val="17"/>
                <w:lang w:val="en-US"/>
              </w:rPr>
              <w:t>Contributed talks II: Participatory Budgeting</w:t>
            </w:r>
          </w:p>
          <w:p w14:paraId="2F4941A9" w14:textId="0B9C3CEA" w:rsidR="00871E74" w:rsidRPr="00871E74" w:rsidRDefault="00871E74">
            <w:pPr>
              <w:rPr>
                <w:lang w:val="en-US"/>
              </w:rPr>
            </w:pPr>
            <w:r w:rsidRPr="00871E74">
              <w:rPr>
                <w:sz w:val="17"/>
                <w:lang w:val="en-US"/>
              </w:rPr>
              <w:t xml:space="preserve">Erica Yu (Tilburg University) — </w:t>
            </w:r>
            <w:r w:rsidRPr="00871E74">
              <w:rPr>
                <w:i/>
                <w:sz w:val="17"/>
                <w:lang w:val="en-US"/>
              </w:rPr>
              <w:t xml:space="preserve">Participatory Budgeting Beyond Direct Democracy: The </w:t>
            </w:r>
            <w:r w:rsidR="00CA5AB4">
              <w:rPr>
                <w:i/>
                <w:sz w:val="17"/>
                <w:lang w:val="en-US"/>
              </w:rPr>
              <w:t>C</w:t>
            </w:r>
            <w:r w:rsidRPr="00871E74">
              <w:rPr>
                <w:i/>
                <w:sz w:val="17"/>
                <w:lang w:val="en-US"/>
              </w:rPr>
              <w:t>ase of the Philippines</w:t>
            </w:r>
          </w:p>
          <w:p w14:paraId="2868AEA9" w14:textId="07A9D9CB" w:rsidR="00871E74" w:rsidRPr="0036769F" w:rsidRDefault="00C6611F">
            <w:pPr>
              <w:rPr>
                <w:lang w:val="en-US"/>
              </w:rPr>
            </w:pPr>
            <w:r w:rsidRPr="0036769F">
              <w:rPr>
                <w:sz w:val="17"/>
                <w:lang w:val="en-US"/>
              </w:rPr>
              <w:t>Markus Utke</w:t>
            </w:r>
            <w:r w:rsidR="00871E74" w:rsidRPr="0036769F">
              <w:rPr>
                <w:sz w:val="17"/>
                <w:lang w:val="en-US"/>
              </w:rPr>
              <w:t xml:space="preserve"> (</w:t>
            </w:r>
            <w:r w:rsidRPr="0036769F">
              <w:rPr>
                <w:sz w:val="17"/>
                <w:lang w:val="en-US"/>
              </w:rPr>
              <w:t>TU Eindhoven</w:t>
            </w:r>
            <w:r w:rsidR="00871E74" w:rsidRPr="0036769F">
              <w:rPr>
                <w:sz w:val="17"/>
                <w:lang w:val="en-US"/>
              </w:rPr>
              <w:t xml:space="preserve">) — </w:t>
            </w:r>
            <w:r w:rsidR="00871E74" w:rsidRPr="0036769F">
              <w:rPr>
                <w:i/>
                <w:sz w:val="17"/>
                <w:lang w:val="en-US"/>
              </w:rPr>
              <w:t>Social Welfare in Budget Aggregation</w:t>
            </w:r>
          </w:p>
        </w:tc>
        <w:tc>
          <w:tcPr>
            <w:tcW w:w="425" w:type="dxa"/>
            <w:vMerge/>
            <w:tcBorders>
              <w:top w:val="single" w:sz="4" w:space="0" w:color="auto"/>
              <w:bottom w:val="single" w:sz="4" w:space="0" w:color="auto"/>
              <w:right w:val="nil"/>
            </w:tcBorders>
          </w:tcPr>
          <w:p w14:paraId="5301610F" w14:textId="1AC7F578" w:rsidR="00871E74" w:rsidRPr="0036769F" w:rsidRDefault="00871E74" w:rsidP="00C72F86">
            <w:pPr>
              <w:rPr>
                <w:color w:val="C00000"/>
                <w:lang w:val="en-US"/>
              </w:rPr>
            </w:pPr>
          </w:p>
        </w:tc>
      </w:tr>
      <w:tr w:rsidR="00871E74" w14:paraId="35B74F44" w14:textId="77777777" w:rsidTr="00871E74">
        <w:trPr>
          <w:jc w:val="center"/>
        </w:trPr>
        <w:tc>
          <w:tcPr>
            <w:tcW w:w="812" w:type="dxa"/>
            <w:tcBorders>
              <w:top w:val="single" w:sz="2" w:space="0" w:color="D9D9D9"/>
              <w:left w:val="none" w:sz="0" w:space="0" w:color="FFFFFF"/>
              <w:bottom w:val="single" w:sz="2" w:space="0" w:color="D9D9D9"/>
              <w:right w:val="none" w:sz="0" w:space="0" w:color="FFFFFF"/>
            </w:tcBorders>
            <w:shd w:val="clear" w:color="auto" w:fill="F2F2F2"/>
            <w:tcMar>
              <w:top w:w="100" w:type="dxa"/>
              <w:left w:w="120" w:type="dxa"/>
              <w:bottom w:w="100" w:type="dxa"/>
              <w:right w:w="80" w:type="dxa"/>
            </w:tcMar>
          </w:tcPr>
          <w:p w14:paraId="3FF8C428" w14:textId="77777777" w:rsidR="00871E74" w:rsidRDefault="00871E74">
            <w:r>
              <w:rPr>
                <w:b/>
                <w:sz w:val="17"/>
              </w:rPr>
              <w:t>14h00</w:t>
            </w:r>
          </w:p>
        </w:tc>
        <w:tc>
          <w:tcPr>
            <w:tcW w:w="8969" w:type="dxa"/>
            <w:tcBorders>
              <w:top w:val="single" w:sz="2" w:space="0" w:color="D9D9D9"/>
              <w:left w:val="single" w:sz="2" w:space="0" w:color="2E6E8E"/>
              <w:bottom w:val="single" w:sz="2" w:space="0" w:color="D9D9D9"/>
              <w:right w:val="none" w:sz="0" w:space="0" w:color="FFFFFF"/>
            </w:tcBorders>
            <w:shd w:val="clear" w:color="auto" w:fill="F2F2F2"/>
            <w:tcMar>
              <w:top w:w="100" w:type="dxa"/>
              <w:left w:w="140" w:type="dxa"/>
              <w:bottom w:w="100" w:type="dxa"/>
              <w:right w:w="120" w:type="dxa"/>
            </w:tcMar>
          </w:tcPr>
          <w:p w14:paraId="4589F5E4" w14:textId="77777777" w:rsidR="00871E74" w:rsidRPr="00CA5AB4" w:rsidRDefault="00871E74">
            <w:pPr>
              <w:rPr>
                <w:bCs/>
              </w:rPr>
            </w:pPr>
            <w:r w:rsidRPr="00CA5AB4">
              <w:rPr>
                <w:bCs/>
                <w:sz w:val="17"/>
              </w:rPr>
              <w:t>Coffee break</w:t>
            </w:r>
          </w:p>
        </w:tc>
        <w:tc>
          <w:tcPr>
            <w:tcW w:w="425" w:type="dxa"/>
            <w:vMerge/>
            <w:tcBorders>
              <w:top w:val="single" w:sz="4" w:space="0" w:color="auto"/>
              <w:bottom w:val="single" w:sz="4" w:space="0" w:color="auto"/>
              <w:right w:val="nil"/>
            </w:tcBorders>
          </w:tcPr>
          <w:p w14:paraId="58AB10FB" w14:textId="65C5AB7E" w:rsidR="00871E74" w:rsidRPr="00871E74" w:rsidRDefault="00871E74" w:rsidP="00C72F86">
            <w:pPr>
              <w:rPr>
                <w:color w:val="C00000"/>
              </w:rPr>
            </w:pPr>
          </w:p>
        </w:tc>
      </w:tr>
      <w:tr w:rsidR="00871E74" w:rsidRPr="00C14936" w14:paraId="657668D2" w14:textId="77777777" w:rsidTr="00871E74">
        <w:trPr>
          <w:jc w:val="center"/>
        </w:trPr>
        <w:tc>
          <w:tcPr>
            <w:tcW w:w="812" w:type="dxa"/>
            <w:tcBorders>
              <w:top w:val="single" w:sz="2" w:space="0" w:color="D9D9D9"/>
              <w:left w:val="none" w:sz="0" w:space="0" w:color="FFFFFF"/>
              <w:bottom w:val="single" w:sz="2" w:space="0" w:color="D9D9D9"/>
              <w:right w:val="none" w:sz="0" w:space="0" w:color="FFFFFF"/>
            </w:tcBorders>
            <w:shd w:val="clear" w:color="auto" w:fill="FFFFFF"/>
            <w:tcMar>
              <w:top w:w="100" w:type="dxa"/>
              <w:left w:w="120" w:type="dxa"/>
              <w:bottom w:w="100" w:type="dxa"/>
              <w:right w:w="80" w:type="dxa"/>
            </w:tcMar>
          </w:tcPr>
          <w:p w14:paraId="5468B4A0" w14:textId="77777777" w:rsidR="00871E74" w:rsidRDefault="00871E74">
            <w:r>
              <w:rPr>
                <w:b/>
                <w:sz w:val="17"/>
              </w:rPr>
              <w:t>14h15</w:t>
            </w:r>
          </w:p>
        </w:tc>
        <w:tc>
          <w:tcPr>
            <w:tcW w:w="8969" w:type="dxa"/>
            <w:tcBorders>
              <w:top w:val="single" w:sz="2" w:space="0" w:color="D9D9D9"/>
              <w:left w:val="single" w:sz="2" w:space="0" w:color="2E6E8E"/>
              <w:bottom w:val="single" w:sz="2" w:space="0" w:color="D9D9D9"/>
              <w:right w:val="none" w:sz="0" w:space="0" w:color="FFFFFF"/>
            </w:tcBorders>
            <w:shd w:val="clear" w:color="auto" w:fill="FFFFFF"/>
            <w:tcMar>
              <w:top w:w="100" w:type="dxa"/>
              <w:left w:w="140" w:type="dxa"/>
              <w:bottom w:w="100" w:type="dxa"/>
              <w:right w:w="120" w:type="dxa"/>
            </w:tcMar>
          </w:tcPr>
          <w:p w14:paraId="4FE63E8F" w14:textId="77777777" w:rsidR="00871E74" w:rsidRPr="00871E74" w:rsidRDefault="00871E74">
            <w:pPr>
              <w:rPr>
                <w:lang w:val="en-US"/>
              </w:rPr>
            </w:pPr>
            <w:r w:rsidRPr="00871E74">
              <w:rPr>
                <w:b/>
                <w:sz w:val="17"/>
                <w:lang w:val="en-US"/>
              </w:rPr>
              <w:t>Contributed talks III: Non-Standard Preference Aggregation</w:t>
            </w:r>
          </w:p>
          <w:p w14:paraId="4EFAC505" w14:textId="77B64611" w:rsidR="00871E74" w:rsidRPr="00871E74" w:rsidRDefault="00871E74">
            <w:pPr>
              <w:rPr>
                <w:lang w:val="en-US"/>
              </w:rPr>
            </w:pPr>
            <w:r>
              <w:rPr>
                <w:sz w:val="17"/>
                <w:lang w:val="en-US"/>
              </w:rPr>
              <w:t>Patrick Lederer</w:t>
            </w:r>
            <w:r w:rsidRPr="00871E74">
              <w:rPr>
                <w:sz w:val="17"/>
                <w:lang w:val="en-US"/>
              </w:rPr>
              <w:t xml:space="preserve"> (Universiteit van Amsterdam) — </w:t>
            </w:r>
            <w:r w:rsidRPr="00871E74">
              <w:rPr>
                <w:i/>
                <w:sz w:val="17"/>
                <w:lang w:val="en-US"/>
              </w:rPr>
              <w:t>Weighted Kemeny Rules for Aggregating Pairwise Preferences</w:t>
            </w:r>
          </w:p>
          <w:p w14:paraId="05653F31" w14:textId="7F6EEAF7" w:rsidR="00871E74" w:rsidRPr="004E5FB3" w:rsidRDefault="00871E74">
            <w:pPr>
              <w:rPr>
                <w:sz w:val="17"/>
                <w:lang w:val="en-BE"/>
              </w:rPr>
            </w:pPr>
            <w:r w:rsidRPr="00871E74">
              <w:rPr>
                <w:sz w:val="17"/>
                <w:lang w:val="en-US"/>
              </w:rPr>
              <w:t>Stan Cheung (</w:t>
            </w:r>
            <w:r w:rsidR="004E5FB3" w:rsidRPr="004E5FB3">
              <w:rPr>
                <w:sz w:val="17"/>
                <w:lang w:val="en-BE"/>
              </w:rPr>
              <w:t>Queen Mary University of London</w:t>
            </w:r>
            <w:r w:rsidRPr="00871E74">
              <w:rPr>
                <w:sz w:val="17"/>
                <w:lang w:val="en-US"/>
              </w:rPr>
              <w:t xml:space="preserve">) — </w:t>
            </w:r>
            <w:r w:rsidRPr="00871E74">
              <w:rPr>
                <w:i/>
                <w:sz w:val="17"/>
                <w:lang w:val="en-US"/>
              </w:rPr>
              <w:t>Social Welfare Equilibrium</w:t>
            </w:r>
          </w:p>
        </w:tc>
        <w:tc>
          <w:tcPr>
            <w:tcW w:w="425" w:type="dxa"/>
            <w:vMerge/>
            <w:tcBorders>
              <w:top w:val="single" w:sz="4" w:space="0" w:color="auto"/>
              <w:bottom w:val="single" w:sz="4" w:space="0" w:color="auto"/>
              <w:right w:val="nil"/>
            </w:tcBorders>
          </w:tcPr>
          <w:p w14:paraId="1835DD45" w14:textId="24D4479B" w:rsidR="00871E74" w:rsidRPr="00871E74" w:rsidRDefault="00871E74" w:rsidP="00C72F86">
            <w:pPr>
              <w:rPr>
                <w:color w:val="C00000"/>
                <w:lang w:val="en-US"/>
              </w:rPr>
            </w:pPr>
          </w:p>
        </w:tc>
      </w:tr>
      <w:tr w:rsidR="00871E74" w14:paraId="2ADA5CFA" w14:textId="77777777" w:rsidTr="00871E74">
        <w:trPr>
          <w:jc w:val="center"/>
        </w:trPr>
        <w:tc>
          <w:tcPr>
            <w:tcW w:w="812" w:type="dxa"/>
            <w:tcBorders>
              <w:top w:val="single" w:sz="2" w:space="0" w:color="D9D9D9"/>
              <w:left w:val="none" w:sz="0" w:space="0" w:color="FFFFFF"/>
              <w:bottom w:val="single" w:sz="2" w:space="0" w:color="D9D9D9"/>
              <w:right w:val="none" w:sz="0" w:space="0" w:color="FFFFFF"/>
            </w:tcBorders>
            <w:shd w:val="clear" w:color="auto" w:fill="F2F2F2"/>
            <w:tcMar>
              <w:top w:w="100" w:type="dxa"/>
              <w:left w:w="120" w:type="dxa"/>
              <w:bottom w:w="100" w:type="dxa"/>
              <w:right w:w="80" w:type="dxa"/>
            </w:tcMar>
          </w:tcPr>
          <w:p w14:paraId="0AA02871" w14:textId="77777777" w:rsidR="00871E74" w:rsidRDefault="00871E74">
            <w:r>
              <w:rPr>
                <w:b/>
                <w:sz w:val="17"/>
              </w:rPr>
              <w:t>15h15</w:t>
            </w:r>
          </w:p>
        </w:tc>
        <w:tc>
          <w:tcPr>
            <w:tcW w:w="8969" w:type="dxa"/>
            <w:tcBorders>
              <w:top w:val="single" w:sz="2" w:space="0" w:color="D9D9D9"/>
              <w:left w:val="single" w:sz="2" w:space="0" w:color="2E6E8E"/>
              <w:bottom w:val="single" w:sz="2" w:space="0" w:color="D9D9D9"/>
              <w:right w:val="none" w:sz="0" w:space="0" w:color="FFFFFF"/>
            </w:tcBorders>
            <w:shd w:val="clear" w:color="auto" w:fill="F2F2F2"/>
            <w:tcMar>
              <w:top w:w="100" w:type="dxa"/>
              <w:left w:w="140" w:type="dxa"/>
              <w:bottom w:w="100" w:type="dxa"/>
              <w:right w:w="120" w:type="dxa"/>
            </w:tcMar>
          </w:tcPr>
          <w:p w14:paraId="3D3C3CF6" w14:textId="77777777" w:rsidR="00871E74" w:rsidRPr="00CA5AB4" w:rsidRDefault="00871E74">
            <w:pPr>
              <w:rPr>
                <w:bCs/>
              </w:rPr>
            </w:pPr>
            <w:r w:rsidRPr="00CA5AB4">
              <w:rPr>
                <w:bCs/>
                <w:sz w:val="17"/>
              </w:rPr>
              <w:t>Coffee break</w:t>
            </w:r>
          </w:p>
        </w:tc>
        <w:tc>
          <w:tcPr>
            <w:tcW w:w="425" w:type="dxa"/>
            <w:vMerge/>
            <w:tcBorders>
              <w:top w:val="single" w:sz="4" w:space="0" w:color="auto"/>
              <w:bottom w:val="single" w:sz="4" w:space="0" w:color="auto"/>
              <w:right w:val="nil"/>
            </w:tcBorders>
          </w:tcPr>
          <w:p w14:paraId="4AFB6EE6" w14:textId="3E5485B8" w:rsidR="00871E74" w:rsidRPr="00871E74" w:rsidRDefault="00871E74" w:rsidP="00C72F86">
            <w:pPr>
              <w:rPr>
                <w:color w:val="C00000"/>
              </w:rPr>
            </w:pPr>
          </w:p>
        </w:tc>
      </w:tr>
      <w:tr w:rsidR="00871E74" w:rsidRPr="00C14936" w14:paraId="748F7EA3" w14:textId="77777777" w:rsidTr="00871E74">
        <w:trPr>
          <w:jc w:val="center"/>
        </w:trPr>
        <w:tc>
          <w:tcPr>
            <w:tcW w:w="812" w:type="dxa"/>
            <w:tcBorders>
              <w:top w:val="single" w:sz="2" w:space="0" w:color="D9D9D9"/>
              <w:left w:val="nil"/>
              <w:bottom w:val="single" w:sz="4" w:space="0" w:color="auto"/>
              <w:right w:val="none" w:sz="0" w:space="0" w:color="FFFFFF"/>
            </w:tcBorders>
            <w:shd w:val="clear" w:color="auto" w:fill="E0E9EE"/>
            <w:tcMar>
              <w:top w:w="100" w:type="dxa"/>
              <w:left w:w="120" w:type="dxa"/>
              <w:bottom w:w="100" w:type="dxa"/>
              <w:right w:w="80" w:type="dxa"/>
            </w:tcMar>
          </w:tcPr>
          <w:p w14:paraId="162D9A1F" w14:textId="77777777" w:rsidR="00871E74" w:rsidRDefault="00871E74">
            <w:r>
              <w:rPr>
                <w:b/>
                <w:sz w:val="17"/>
              </w:rPr>
              <w:t>15h30</w:t>
            </w:r>
          </w:p>
        </w:tc>
        <w:tc>
          <w:tcPr>
            <w:tcW w:w="8969" w:type="dxa"/>
            <w:tcBorders>
              <w:top w:val="single" w:sz="2" w:space="0" w:color="D9D9D9"/>
              <w:left w:val="single" w:sz="2" w:space="0" w:color="2E6E8E"/>
              <w:bottom w:val="single" w:sz="4" w:space="0" w:color="auto"/>
              <w:right w:val="none" w:sz="0" w:space="0" w:color="FFFFFF"/>
            </w:tcBorders>
            <w:shd w:val="clear" w:color="auto" w:fill="E0E9EE"/>
            <w:tcMar>
              <w:top w:w="100" w:type="dxa"/>
              <w:left w:w="140" w:type="dxa"/>
              <w:bottom w:w="100" w:type="dxa"/>
              <w:right w:w="120" w:type="dxa"/>
            </w:tcMar>
          </w:tcPr>
          <w:p w14:paraId="6E7E4CAF" w14:textId="77777777" w:rsidR="00871E74" w:rsidRPr="00871E74" w:rsidRDefault="00871E74">
            <w:pPr>
              <w:rPr>
                <w:lang w:val="en-US"/>
              </w:rPr>
            </w:pPr>
            <w:r w:rsidRPr="00871E74">
              <w:rPr>
                <w:b/>
                <w:sz w:val="17"/>
                <w:lang w:val="en-US"/>
              </w:rPr>
              <w:t>Keynote: Christian List (LMU Munich)</w:t>
            </w:r>
          </w:p>
          <w:p w14:paraId="7E50C2F7" w14:textId="50B71601" w:rsidR="00871E74" w:rsidRPr="00EC5D69" w:rsidRDefault="00EC5D69" w:rsidP="00EC5D69">
            <w:pPr>
              <w:rPr>
                <w:i/>
                <w:sz w:val="17"/>
                <w:lang w:val="en-BE"/>
              </w:rPr>
            </w:pPr>
            <w:r w:rsidRPr="00EC5D69">
              <w:rPr>
                <w:i/>
                <w:sz w:val="17"/>
                <w:lang w:val="en-US"/>
              </w:rPr>
              <w:t>Truth and indeterminacy in politics: An impossibility result for epistemic democracy</w:t>
            </w:r>
          </w:p>
        </w:tc>
        <w:tc>
          <w:tcPr>
            <w:tcW w:w="425" w:type="dxa"/>
            <w:vMerge/>
            <w:tcBorders>
              <w:top w:val="single" w:sz="4" w:space="0" w:color="auto"/>
              <w:bottom w:val="single" w:sz="4" w:space="0" w:color="auto"/>
              <w:right w:val="nil"/>
            </w:tcBorders>
          </w:tcPr>
          <w:p w14:paraId="7B54856C" w14:textId="46C0111E" w:rsidR="00871E74" w:rsidRPr="00871E74" w:rsidRDefault="00871E74">
            <w:pPr>
              <w:rPr>
                <w:color w:val="C00000"/>
                <w:lang w:val="en-US"/>
              </w:rPr>
            </w:pPr>
          </w:p>
        </w:tc>
      </w:tr>
      <w:tr w:rsidR="00EF72FE" w:rsidRPr="00C14936" w14:paraId="1EA7C360" w14:textId="77777777" w:rsidTr="008F06C7">
        <w:trPr>
          <w:cantSplit/>
          <w:trHeight w:val="1134"/>
          <w:jc w:val="center"/>
        </w:trPr>
        <w:tc>
          <w:tcPr>
            <w:tcW w:w="812" w:type="dxa"/>
            <w:tcBorders>
              <w:top w:val="single" w:sz="4" w:space="0" w:color="auto"/>
              <w:left w:val="nil"/>
              <w:bottom w:val="single" w:sz="4" w:space="0" w:color="auto"/>
              <w:right w:val="none" w:sz="0" w:space="0" w:color="FFFFFF"/>
            </w:tcBorders>
            <w:shd w:val="clear" w:color="auto" w:fill="FFFFFF"/>
            <w:tcMar>
              <w:top w:w="100" w:type="dxa"/>
              <w:left w:w="120" w:type="dxa"/>
              <w:bottom w:w="100" w:type="dxa"/>
              <w:right w:w="80" w:type="dxa"/>
            </w:tcMar>
          </w:tcPr>
          <w:p w14:paraId="3FFA1D8A" w14:textId="77777777" w:rsidR="00EF72FE" w:rsidRDefault="00EF72FE">
            <w:r>
              <w:rPr>
                <w:b/>
                <w:sz w:val="17"/>
              </w:rPr>
              <w:t>16h30</w:t>
            </w:r>
          </w:p>
        </w:tc>
        <w:tc>
          <w:tcPr>
            <w:tcW w:w="9394" w:type="dxa"/>
            <w:gridSpan w:val="2"/>
            <w:tcBorders>
              <w:top w:val="single" w:sz="4" w:space="0" w:color="auto"/>
              <w:left w:val="single" w:sz="2" w:space="0" w:color="2E6E8E"/>
              <w:bottom w:val="single" w:sz="4" w:space="0" w:color="auto"/>
              <w:right w:val="none" w:sz="0" w:space="0" w:color="FFFFFF"/>
            </w:tcBorders>
            <w:shd w:val="clear" w:color="auto" w:fill="FFFFFF"/>
            <w:tcMar>
              <w:top w:w="100" w:type="dxa"/>
              <w:left w:w="140" w:type="dxa"/>
              <w:bottom w:w="100" w:type="dxa"/>
              <w:right w:w="120" w:type="dxa"/>
            </w:tcMar>
          </w:tcPr>
          <w:p w14:paraId="74C402AE" w14:textId="3AC5B133" w:rsidR="00EF72FE" w:rsidRPr="00EF72FE" w:rsidRDefault="00EF72FE" w:rsidP="00871E74">
            <w:pPr>
              <w:ind w:left="113" w:right="113"/>
              <w:rPr>
                <w:color w:val="C00000"/>
                <w:lang w:val="en-US"/>
              </w:rPr>
            </w:pPr>
            <w:r w:rsidRPr="00871E74">
              <w:rPr>
                <w:b/>
                <w:sz w:val="17"/>
                <w:lang w:val="en-US"/>
              </w:rPr>
              <w:t>Deliberative</w:t>
            </w:r>
            <w:r>
              <w:rPr>
                <w:b/>
                <w:sz w:val="17"/>
                <w:lang w:val="en-US"/>
              </w:rPr>
              <w:t xml:space="preserve"> Drinks &amp; Social Choice</w:t>
            </w:r>
            <w:r w:rsidRPr="00871E74">
              <w:rPr>
                <w:b/>
                <w:sz w:val="17"/>
                <w:lang w:val="en-US"/>
              </w:rPr>
              <w:t xml:space="preserve"> Bites</w:t>
            </w:r>
            <w:r>
              <w:rPr>
                <w:b/>
                <w:sz w:val="17"/>
                <w:lang w:val="en-US"/>
              </w:rPr>
              <w:t xml:space="preserve"> </w:t>
            </w:r>
            <w:r w:rsidRPr="00EF72FE">
              <w:rPr>
                <w:color w:val="C00000"/>
                <w:sz w:val="16"/>
                <w:lang w:val="en-US"/>
              </w:rPr>
              <w:t xml:space="preserve">@Erasmus </w:t>
            </w:r>
            <w:proofErr w:type="spellStart"/>
            <w:r w:rsidRPr="00EF72FE">
              <w:rPr>
                <w:color w:val="C00000"/>
                <w:sz w:val="16"/>
                <w:lang w:val="en-US"/>
              </w:rPr>
              <w:t>Paviljoen</w:t>
            </w:r>
            <w:proofErr w:type="spellEnd"/>
          </w:p>
        </w:tc>
      </w:tr>
      <w:tr w:rsidR="008C1AB2" w:rsidRPr="008C1AB2" w14:paraId="2238B721" w14:textId="77777777" w:rsidTr="008C1AB2">
        <w:trPr>
          <w:cantSplit/>
          <w:trHeight w:val="742"/>
          <w:jc w:val="center"/>
        </w:trPr>
        <w:tc>
          <w:tcPr>
            <w:tcW w:w="812" w:type="dxa"/>
            <w:tcBorders>
              <w:top w:val="single" w:sz="4" w:space="0" w:color="auto"/>
              <w:left w:val="nil"/>
              <w:bottom w:val="single" w:sz="4" w:space="0" w:color="auto"/>
              <w:right w:val="none" w:sz="0" w:space="0" w:color="FFFFFF"/>
            </w:tcBorders>
            <w:shd w:val="clear" w:color="auto" w:fill="FFFFFF"/>
            <w:tcMar>
              <w:top w:w="100" w:type="dxa"/>
              <w:left w:w="120" w:type="dxa"/>
              <w:bottom w:w="100" w:type="dxa"/>
              <w:right w:w="80" w:type="dxa"/>
            </w:tcMar>
          </w:tcPr>
          <w:p w14:paraId="7A932245" w14:textId="7490B140" w:rsidR="008C1AB2" w:rsidRDefault="008C1AB2">
            <w:pPr>
              <w:rPr>
                <w:b/>
                <w:sz w:val="17"/>
              </w:rPr>
            </w:pPr>
            <w:r>
              <w:rPr>
                <w:b/>
                <w:sz w:val="17"/>
              </w:rPr>
              <w:t>20h00</w:t>
            </w:r>
          </w:p>
        </w:tc>
        <w:tc>
          <w:tcPr>
            <w:tcW w:w="9394" w:type="dxa"/>
            <w:gridSpan w:val="2"/>
            <w:tcBorders>
              <w:top w:val="single" w:sz="4" w:space="0" w:color="auto"/>
              <w:left w:val="single" w:sz="2" w:space="0" w:color="2E6E8E"/>
              <w:bottom w:val="single" w:sz="4" w:space="0" w:color="auto"/>
              <w:right w:val="none" w:sz="0" w:space="0" w:color="FFFFFF"/>
            </w:tcBorders>
            <w:shd w:val="clear" w:color="auto" w:fill="FFFFFF"/>
            <w:tcMar>
              <w:top w:w="100" w:type="dxa"/>
              <w:left w:w="140" w:type="dxa"/>
              <w:bottom w:w="100" w:type="dxa"/>
              <w:right w:w="120" w:type="dxa"/>
            </w:tcMar>
          </w:tcPr>
          <w:p w14:paraId="2F0F6EAF" w14:textId="5B6E5F99" w:rsidR="008C1AB2" w:rsidRPr="00D10190" w:rsidRDefault="008C1AB2" w:rsidP="00871E74">
            <w:pPr>
              <w:ind w:left="113" w:right="113"/>
              <w:rPr>
                <w:b/>
                <w:sz w:val="17"/>
                <w:lang w:val="en-US"/>
              </w:rPr>
            </w:pPr>
            <w:r w:rsidRPr="00D10190">
              <w:rPr>
                <w:b/>
                <w:sz w:val="17"/>
                <w:lang w:val="en-US"/>
              </w:rPr>
              <w:t xml:space="preserve">Panel Discussion on Deliberative Mini-Publics and Democratic Participation </w:t>
            </w:r>
            <w:r w:rsidR="00D10190" w:rsidRPr="00D10190">
              <w:rPr>
                <w:bCs/>
                <w:color w:val="C00000"/>
                <w:sz w:val="17"/>
                <w:lang w:val="en-US"/>
              </w:rPr>
              <w:t xml:space="preserve">@De </w:t>
            </w:r>
            <w:proofErr w:type="spellStart"/>
            <w:r w:rsidR="00D10190" w:rsidRPr="00D10190">
              <w:rPr>
                <w:bCs/>
                <w:color w:val="C00000"/>
                <w:sz w:val="17"/>
                <w:lang w:val="en-US"/>
              </w:rPr>
              <w:t>Volksuniversiteit</w:t>
            </w:r>
            <w:proofErr w:type="spellEnd"/>
            <w:r w:rsidR="00D10190">
              <w:rPr>
                <w:bCs/>
                <w:color w:val="C00000"/>
                <w:sz w:val="17"/>
                <w:lang w:val="en-US"/>
              </w:rPr>
              <w:t xml:space="preserve">, </w:t>
            </w:r>
            <w:proofErr w:type="spellStart"/>
            <w:r w:rsidR="00D10190">
              <w:rPr>
                <w:bCs/>
                <w:color w:val="C00000"/>
                <w:sz w:val="17"/>
                <w:lang w:val="en-US"/>
              </w:rPr>
              <w:t>Heemraadsesingle</w:t>
            </w:r>
            <w:proofErr w:type="spellEnd"/>
            <w:r w:rsidR="00D10190">
              <w:rPr>
                <w:bCs/>
                <w:color w:val="C00000"/>
                <w:sz w:val="17"/>
                <w:lang w:val="en-US"/>
              </w:rPr>
              <w:t xml:space="preserve"> 275</w:t>
            </w:r>
          </w:p>
          <w:p w14:paraId="6F9F89D0" w14:textId="77777777" w:rsidR="00D10190" w:rsidRDefault="00D10190" w:rsidP="00871E74">
            <w:pPr>
              <w:ind w:left="113" w:right="113"/>
              <w:rPr>
                <w:bCs/>
                <w:sz w:val="17"/>
              </w:rPr>
            </w:pPr>
          </w:p>
          <w:p w14:paraId="0F74E31A" w14:textId="345658F5" w:rsidR="008C1AB2" w:rsidRPr="008C1AB2" w:rsidRDefault="008C1AB2" w:rsidP="00871E74">
            <w:pPr>
              <w:ind w:left="113" w:right="113"/>
              <w:rPr>
                <w:bCs/>
                <w:sz w:val="17"/>
              </w:rPr>
            </w:pPr>
            <w:r w:rsidRPr="008C1AB2">
              <w:rPr>
                <w:bCs/>
                <w:sz w:val="17"/>
              </w:rPr>
              <w:t xml:space="preserve">ft. Eva Rovers (Bureau Burgerberaad) </w:t>
            </w:r>
            <w:proofErr w:type="spellStart"/>
            <w:r w:rsidRPr="008C1AB2">
              <w:rPr>
                <w:bCs/>
                <w:sz w:val="17"/>
              </w:rPr>
              <w:t>and</w:t>
            </w:r>
            <w:proofErr w:type="spellEnd"/>
            <w:r w:rsidRPr="008C1AB2">
              <w:rPr>
                <w:bCs/>
                <w:sz w:val="17"/>
              </w:rPr>
              <w:t xml:space="preserve"> Kristof Jacobs (Radboud Universiteit Nijmegen)</w:t>
            </w:r>
          </w:p>
          <w:p w14:paraId="79969E02" w14:textId="3A37D9DF" w:rsidR="008C1AB2" w:rsidRPr="008C1AB2" w:rsidRDefault="008C1AB2" w:rsidP="00871E74">
            <w:pPr>
              <w:ind w:left="113" w:right="113"/>
              <w:rPr>
                <w:b/>
                <w:sz w:val="17"/>
                <w:lang w:val="en-US"/>
              </w:rPr>
            </w:pPr>
            <w:r w:rsidRPr="008C1AB2">
              <w:rPr>
                <w:bCs/>
                <w:sz w:val="17"/>
                <w:lang w:val="en-US"/>
              </w:rPr>
              <w:t>Outreach event (in Dutch)</w:t>
            </w:r>
            <w:r w:rsidR="00D10190">
              <w:rPr>
                <w:bCs/>
                <w:sz w:val="17"/>
                <w:lang w:val="en-US"/>
              </w:rPr>
              <w:t>, jointly organized with DRIFT. The d</w:t>
            </w:r>
            <w:r w:rsidRPr="008C1AB2">
              <w:rPr>
                <w:bCs/>
                <w:sz w:val="17"/>
                <w:lang w:val="en-US"/>
              </w:rPr>
              <w:t>iscussion will be recorded as podcast. Free entrance.</w:t>
            </w:r>
          </w:p>
        </w:tc>
      </w:tr>
    </w:tbl>
    <w:p w14:paraId="24FEFE96" w14:textId="77777777" w:rsidR="004B2D40" w:rsidRPr="008C1AB2" w:rsidRDefault="004B2D40">
      <w:pPr>
        <w:spacing w:after="320"/>
        <w:rPr>
          <w:lang w:val="en-US"/>
        </w:rPr>
      </w:pPr>
    </w:p>
    <w:p w14:paraId="025AA7BE" w14:textId="77777777" w:rsidR="00CA5AB4" w:rsidRPr="008C1AB2" w:rsidRDefault="00CA5AB4">
      <w:pPr>
        <w:spacing w:after="320"/>
        <w:rPr>
          <w:lang w:val="en-US"/>
        </w:rPr>
      </w:pPr>
    </w:p>
    <w:p w14:paraId="72719990" w14:textId="77777777" w:rsidR="00CA5AB4" w:rsidRPr="008C1AB2" w:rsidRDefault="00CA5AB4">
      <w:pPr>
        <w:spacing w:after="320"/>
        <w:rPr>
          <w:lang w:val="en-US"/>
        </w:rPr>
      </w:pPr>
    </w:p>
    <w:p w14:paraId="77D749D2" w14:textId="77777777" w:rsidR="00CA5AB4" w:rsidRPr="008C1AB2" w:rsidRDefault="00CA5AB4">
      <w:pPr>
        <w:spacing w:after="320"/>
        <w:rPr>
          <w:lang w:val="en-US"/>
        </w:rPr>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6"/>
      </w:tblGrid>
      <w:tr w:rsidR="004B2D40" w14:paraId="02A17D65" w14:textId="77777777">
        <w:tc>
          <w:tcPr>
            <w:tcW w:w="0" w:type="auto"/>
            <w:tcBorders>
              <w:top w:val="none" w:sz="0" w:space="0" w:color="FFFFFF"/>
              <w:left w:val="none" w:sz="0" w:space="0" w:color="FFFFFF"/>
              <w:bottom w:val="none" w:sz="0" w:space="0" w:color="FFFFFF"/>
              <w:right w:val="none" w:sz="0" w:space="0" w:color="FFFFFF"/>
            </w:tcBorders>
            <w:shd w:val="clear" w:color="auto" w:fill="1E8A6E"/>
            <w:tcMar>
              <w:top w:w="160" w:type="dxa"/>
              <w:left w:w="220" w:type="dxa"/>
              <w:bottom w:w="160" w:type="dxa"/>
              <w:right w:w="220" w:type="dxa"/>
            </w:tcMar>
            <w:vAlign w:val="center"/>
          </w:tcPr>
          <w:p w14:paraId="6579899F" w14:textId="77777777" w:rsidR="005A2244" w:rsidRDefault="00000000">
            <w:proofErr w:type="spellStart"/>
            <w:r>
              <w:rPr>
                <w:b/>
                <w:sz w:val="21"/>
              </w:rPr>
              <w:t>Thursday</w:t>
            </w:r>
            <w:proofErr w:type="spellEnd"/>
            <w:r>
              <w:rPr>
                <w:b/>
                <w:sz w:val="21"/>
              </w:rPr>
              <w:t xml:space="preserve"> 12 November · 9h30–16h30</w:t>
            </w:r>
          </w:p>
        </w:tc>
      </w:tr>
    </w:tbl>
    <w:p w14:paraId="08543CFF" w14:textId="77777777" w:rsidR="004B2D40" w:rsidRDefault="004B2D40">
      <w:pPr>
        <w:spacing w:after="60"/>
      </w:pPr>
    </w:p>
    <w:tbl>
      <w:tblPr>
        <w:tblW w:w="4995" w:type="pct"/>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4"/>
        <w:gridCol w:w="8967"/>
        <w:gridCol w:w="415"/>
      </w:tblGrid>
      <w:tr w:rsidR="00871E74" w14:paraId="4A45E0FD" w14:textId="77777777" w:rsidTr="00871E74">
        <w:trPr>
          <w:trHeight w:val="327"/>
          <w:jc w:val="center"/>
        </w:trPr>
        <w:tc>
          <w:tcPr>
            <w:tcW w:w="814" w:type="dxa"/>
            <w:tcBorders>
              <w:top w:val="single" w:sz="4" w:space="0" w:color="auto"/>
              <w:left w:val="nil"/>
              <w:bottom w:val="single" w:sz="2" w:space="0" w:color="D9D9D9"/>
              <w:right w:val="none" w:sz="0" w:space="0" w:color="FFFFFF"/>
            </w:tcBorders>
            <w:shd w:val="clear" w:color="auto" w:fill="DDEDE9"/>
            <w:tcMar>
              <w:top w:w="100" w:type="dxa"/>
              <w:left w:w="120" w:type="dxa"/>
              <w:bottom w:w="100" w:type="dxa"/>
              <w:right w:w="80" w:type="dxa"/>
            </w:tcMar>
          </w:tcPr>
          <w:p w14:paraId="22B4CA0C" w14:textId="77777777" w:rsidR="00871E74" w:rsidRDefault="00871E74">
            <w:r>
              <w:rPr>
                <w:b/>
                <w:sz w:val="17"/>
              </w:rPr>
              <w:t>9h45</w:t>
            </w:r>
          </w:p>
        </w:tc>
        <w:tc>
          <w:tcPr>
            <w:tcW w:w="8967" w:type="dxa"/>
            <w:tcBorders>
              <w:top w:val="single" w:sz="4" w:space="0" w:color="auto"/>
              <w:left w:val="single" w:sz="2" w:space="0" w:color="1E8A6E"/>
              <w:bottom w:val="single" w:sz="2" w:space="0" w:color="D9D9D9"/>
              <w:right w:val="none" w:sz="0" w:space="0" w:color="FFFFFF"/>
            </w:tcBorders>
            <w:shd w:val="clear" w:color="auto" w:fill="DDEDE9"/>
            <w:tcMar>
              <w:top w:w="100" w:type="dxa"/>
              <w:left w:w="140" w:type="dxa"/>
              <w:bottom w:w="100" w:type="dxa"/>
              <w:right w:w="120" w:type="dxa"/>
            </w:tcMar>
          </w:tcPr>
          <w:p w14:paraId="0CB7FCCE" w14:textId="77777777" w:rsidR="00871E74" w:rsidRPr="00871E74" w:rsidRDefault="00871E74">
            <w:pPr>
              <w:rPr>
                <w:lang w:val="en-US"/>
              </w:rPr>
            </w:pPr>
            <w:r w:rsidRPr="00871E74">
              <w:rPr>
                <w:b/>
                <w:sz w:val="17"/>
                <w:lang w:val="en-US"/>
              </w:rPr>
              <w:t>Keynote: Sofie Marien (Tree Company and KU Leuven)</w:t>
            </w:r>
          </w:p>
          <w:p w14:paraId="096A15E3" w14:textId="77777777" w:rsidR="00871E74" w:rsidRPr="00871E74" w:rsidRDefault="00871E74">
            <w:pPr>
              <w:rPr>
                <w:lang w:val="en-US"/>
              </w:rPr>
            </w:pPr>
            <w:r w:rsidRPr="00871E74">
              <w:rPr>
                <w:i/>
                <w:sz w:val="17"/>
                <w:lang w:val="en-US"/>
              </w:rPr>
              <w:t>From Deliberation to Democratic Impact: Engaging the Wider Public</w:t>
            </w:r>
          </w:p>
        </w:tc>
        <w:tc>
          <w:tcPr>
            <w:tcW w:w="415" w:type="dxa"/>
            <w:vMerge w:val="restart"/>
            <w:tcBorders>
              <w:top w:val="single" w:sz="4" w:space="0" w:color="auto"/>
              <w:right w:val="nil"/>
            </w:tcBorders>
            <w:textDirection w:val="tbRl"/>
          </w:tcPr>
          <w:p w14:paraId="45D65349" w14:textId="1027B5F1" w:rsidR="00871E74" w:rsidRPr="00871E74" w:rsidRDefault="00871E74" w:rsidP="00871E74">
            <w:pPr>
              <w:ind w:left="113" w:right="113"/>
              <w:rPr>
                <w:color w:val="C00000"/>
              </w:rPr>
            </w:pPr>
            <w:r w:rsidRPr="00871E74">
              <w:rPr>
                <w:color w:val="C00000"/>
                <w:sz w:val="16"/>
              </w:rPr>
              <w:t>@Langeveld</w:t>
            </w:r>
            <w:r w:rsidR="004B0BA5">
              <w:rPr>
                <w:color w:val="C00000"/>
                <w:sz w:val="16"/>
              </w:rPr>
              <w:t xml:space="preserve"> building, room</w:t>
            </w:r>
            <w:r w:rsidRPr="00871E74">
              <w:rPr>
                <w:color w:val="C00000"/>
                <w:sz w:val="16"/>
              </w:rPr>
              <w:t xml:space="preserve"> </w:t>
            </w:r>
            <w:r w:rsidR="004B0BA5">
              <w:rPr>
                <w:color w:val="C00000"/>
                <w:sz w:val="16"/>
              </w:rPr>
              <w:t>5-18</w:t>
            </w:r>
          </w:p>
        </w:tc>
      </w:tr>
      <w:tr w:rsidR="00871E74" w14:paraId="7A6B94A7" w14:textId="77777777" w:rsidTr="00871E74">
        <w:trPr>
          <w:trHeight w:val="166"/>
          <w:jc w:val="center"/>
        </w:trPr>
        <w:tc>
          <w:tcPr>
            <w:tcW w:w="814" w:type="dxa"/>
            <w:tcBorders>
              <w:top w:val="single" w:sz="2" w:space="0" w:color="D9D9D9"/>
              <w:left w:val="none" w:sz="0" w:space="0" w:color="FFFFFF"/>
              <w:bottom w:val="single" w:sz="2" w:space="0" w:color="D9D9D9"/>
              <w:right w:val="none" w:sz="0" w:space="0" w:color="FFFFFF"/>
            </w:tcBorders>
            <w:shd w:val="clear" w:color="auto" w:fill="F2F2F2"/>
            <w:tcMar>
              <w:top w:w="100" w:type="dxa"/>
              <w:left w:w="120" w:type="dxa"/>
              <w:bottom w:w="100" w:type="dxa"/>
              <w:right w:w="80" w:type="dxa"/>
            </w:tcMar>
          </w:tcPr>
          <w:p w14:paraId="75D51463" w14:textId="77777777" w:rsidR="00871E74" w:rsidRDefault="00871E74">
            <w:r>
              <w:rPr>
                <w:b/>
                <w:sz w:val="17"/>
              </w:rPr>
              <w:t>10h45</w:t>
            </w:r>
          </w:p>
        </w:tc>
        <w:tc>
          <w:tcPr>
            <w:tcW w:w="8967" w:type="dxa"/>
            <w:tcBorders>
              <w:top w:val="single" w:sz="2" w:space="0" w:color="D9D9D9"/>
              <w:left w:val="single" w:sz="2" w:space="0" w:color="1E8A6E"/>
              <w:bottom w:val="single" w:sz="2" w:space="0" w:color="D9D9D9"/>
              <w:right w:val="none" w:sz="0" w:space="0" w:color="FFFFFF"/>
            </w:tcBorders>
            <w:shd w:val="clear" w:color="auto" w:fill="F2F2F2"/>
            <w:tcMar>
              <w:top w:w="100" w:type="dxa"/>
              <w:left w:w="140" w:type="dxa"/>
              <w:bottom w:w="100" w:type="dxa"/>
              <w:right w:w="120" w:type="dxa"/>
            </w:tcMar>
          </w:tcPr>
          <w:p w14:paraId="0A7C08F0" w14:textId="77777777" w:rsidR="00871E74" w:rsidRPr="00CA5AB4" w:rsidRDefault="00871E74">
            <w:pPr>
              <w:rPr>
                <w:bCs/>
              </w:rPr>
            </w:pPr>
            <w:r w:rsidRPr="00CA5AB4">
              <w:rPr>
                <w:bCs/>
                <w:sz w:val="17"/>
              </w:rPr>
              <w:t>Coffee break</w:t>
            </w:r>
          </w:p>
        </w:tc>
        <w:tc>
          <w:tcPr>
            <w:tcW w:w="415" w:type="dxa"/>
            <w:vMerge/>
            <w:textDirection w:val="tbRl"/>
          </w:tcPr>
          <w:p w14:paraId="536F931D" w14:textId="4214940C" w:rsidR="00871E74" w:rsidRPr="00871E74" w:rsidRDefault="00871E74" w:rsidP="00871E74">
            <w:pPr>
              <w:ind w:left="113" w:right="113"/>
              <w:rPr>
                <w:color w:val="C00000"/>
              </w:rPr>
            </w:pPr>
          </w:p>
        </w:tc>
      </w:tr>
      <w:tr w:rsidR="00871E74" w:rsidRPr="00C14936" w14:paraId="78589041" w14:textId="77777777" w:rsidTr="00871E74">
        <w:trPr>
          <w:trHeight w:val="820"/>
          <w:jc w:val="center"/>
        </w:trPr>
        <w:tc>
          <w:tcPr>
            <w:tcW w:w="814" w:type="dxa"/>
            <w:tcBorders>
              <w:top w:val="single" w:sz="2" w:space="0" w:color="D9D9D9"/>
              <w:left w:val="none" w:sz="0" w:space="0" w:color="FFFFFF"/>
              <w:bottom w:val="single" w:sz="2" w:space="0" w:color="D9D9D9"/>
              <w:right w:val="none" w:sz="0" w:space="0" w:color="FFFFFF"/>
            </w:tcBorders>
            <w:shd w:val="clear" w:color="auto" w:fill="FFFFFF"/>
            <w:tcMar>
              <w:top w:w="100" w:type="dxa"/>
              <w:left w:w="120" w:type="dxa"/>
              <w:bottom w:w="100" w:type="dxa"/>
              <w:right w:w="80" w:type="dxa"/>
            </w:tcMar>
          </w:tcPr>
          <w:p w14:paraId="0C32B1B3" w14:textId="77777777" w:rsidR="00871E74" w:rsidRDefault="00871E74">
            <w:r>
              <w:rPr>
                <w:b/>
                <w:sz w:val="17"/>
              </w:rPr>
              <w:t>11h00</w:t>
            </w:r>
          </w:p>
        </w:tc>
        <w:tc>
          <w:tcPr>
            <w:tcW w:w="8967" w:type="dxa"/>
            <w:tcBorders>
              <w:top w:val="single" w:sz="2" w:space="0" w:color="D9D9D9"/>
              <w:left w:val="single" w:sz="2" w:space="0" w:color="1E8A6E"/>
              <w:bottom w:val="single" w:sz="2" w:space="0" w:color="D9D9D9"/>
              <w:right w:val="none" w:sz="0" w:space="0" w:color="FFFFFF"/>
            </w:tcBorders>
            <w:shd w:val="clear" w:color="auto" w:fill="FFFFFF"/>
            <w:tcMar>
              <w:top w:w="100" w:type="dxa"/>
              <w:left w:w="140" w:type="dxa"/>
              <w:bottom w:w="100" w:type="dxa"/>
              <w:right w:w="120" w:type="dxa"/>
            </w:tcMar>
          </w:tcPr>
          <w:p w14:paraId="0FD7CA37" w14:textId="5C2B14B6" w:rsidR="00871E74" w:rsidRPr="00871E74" w:rsidRDefault="00871E74">
            <w:pPr>
              <w:rPr>
                <w:lang w:val="en-US"/>
              </w:rPr>
            </w:pPr>
            <w:r w:rsidRPr="00871E74">
              <w:rPr>
                <w:b/>
                <w:sz w:val="17"/>
                <w:lang w:val="en-US"/>
              </w:rPr>
              <w:t xml:space="preserve">Contributed talks IV: Deliberation in the </w:t>
            </w:r>
            <w:r w:rsidR="00775D17">
              <w:rPr>
                <w:b/>
                <w:sz w:val="17"/>
                <w:lang w:val="en-US"/>
              </w:rPr>
              <w:t>W</w:t>
            </w:r>
            <w:r w:rsidRPr="00871E74">
              <w:rPr>
                <w:b/>
                <w:sz w:val="17"/>
                <w:lang w:val="en-US"/>
              </w:rPr>
              <w:t>ild</w:t>
            </w:r>
          </w:p>
          <w:p w14:paraId="64755D92" w14:textId="77777777" w:rsidR="00871E74" w:rsidRPr="00871E74" w:rsidRDefault="00871E74">
            <w:pPr>
              <w:rPr>
                <w:lang w:val="en-US"/>
              </w:rPr>
            </w:pPr>
            <w:r w:rsidRPr="00871E74">
              <w:rPr>
                <w:sz w:val="17"/>
                <w:lang w:val="fr-BE"/>
              </w:rPr>
              <w:t xml:space="preserve">Salim Hafid (Institut d'Etudes Politiques de Paris) — </w:t>
            </w:r>
            <w:proofErr w:type="spellStart"/>
            <w:r w:rsidRPr="00871E74">
              <w:rPr>
                <w:i/>
                <w:sz w:val="17"/>
                <w:lang w:val="fr-BE"/>
              </w:rPr>
              <w:t>Whose</w:t>
            </w:r>
            <w:proofErr w:type="spellEnd"/>
            <w:r w:rsidRPr="00871E74">
              <w:rPr>
                <w:i/>
                <w:sz w:val="17"/>
                <w:lang w:val="fr-BE"/>
              </w:rPr>
              <w:t xml:space="preserve"> Opinions </w:t>
            </w:r>
            <w:proofErr w:type="spellStart"/>
            <w:r w:rsidRPr="00871E74">
              <w:rPr>
                <w:i/>
                <w:sz w:val="17"/>
                <w:lang w:val="fr-BE"/>
              </w:rPr>
              <w:t>Get</w:t>
            </w:r>
            <w:proofErr w:type="spellEnd"/>
            <w:r w:rsidRPr="00871E74">
              <w:rPr>
                <w:i/>
                <w:sz w:val="17"/>
                <w:lang w:val="fr-BE"/>
              </w:rPr>
              <w:t xml:space="preserve"> </w:t>
            </w:r>
            <w:proofErr w:type="spellStart"/>
            <w:r w:rsidRPr="00871E74">
              <w:rPr>
                <w:i/>
                <w:sz w:val="17"/>
                <w:lang w:val="fr-BE"/>
              </w:rPr>
              <w:t>Selected</w:t>
            </w:r>
            <w:proofErr w:type="spellEnd"/>
            <w:r w:rsidRPr="00871E74">
              <w:rPr>
                <w:i/>
                <w:sz w:val="17"/>
                <w:lang w:val="fr-BE"/>
              </w:rPr>
              <w:t xml:space="preserve">? </w:t>
            </w:r>
            <w:r w:rsidRPr="00871E74">
              <w:rPr>
                <w:i/>
                <w:sz w:val="17"/>
                <w:lang w:val="en-US"/>
              </w:rPr>
              <w:t>A Study on How Algorithms Shape Online Deliberation</w:t>
            </w:r>
          </w:p>
          <w:p w14:paraId="05938FB8" w14:textId="75E7A3C6" w:rsidR="00871E74" w:rsidRPr="00C14936" w:rsidRDefault="00C14936">
            <w:pPr>
              <w:rPr>
                <w:i/>
                <w:sz w:val="17"/>
                <w:lang w:val="en"/>
              </w:rPr>
            </w:pPr>
            <w:r w:rsidRPr="008C1AB2">
              <w:rPr>
                <w:sz w:val="17"/>
                <w:lang w:val="fr-BE"/>
              </w:rPr>
              <w:t xml:space="preserve">Martijn de Vries (TU Delft &amp; </w:t>
            </w:r>
            <w:proofErr w:type="spellStart"/>
            <w:r w:rsidRPr="008C1AB2">
              <w:rPr>
                <w:sz w:val="17"/>
                <w:lang w:val="fr-BE"/>
              </w:rPr>
              <w:t>Populytics</w:t>
            </w:r>
            <w:proofErr w:type="spellEnd"/>
            <w:r w:rsidRPr="008C1AB2">
              <w:rPr>
                <w:sz w:val="17"/>
                <w:lang w:val="fr-BE"/>
              </w:rPr>
              <w:t>)</w:t>
            </w:r>
            <w:r w:rsidR="00871E74" w:rsidRPr="008C1AB2">
              <w:rPr>
                <w:sz w:val="17"/>
                <w:lang w:val="fr-BE"/>
              </w:rPr>
              <w:t xml:space="preserve"> — </w:t>
            </w:r>
            <w:proofErr w:type="spellStart"/>
            <w:r w:rsidRPr="008C1AB2">
              <w:rPr>
                <w:i/>
                <w:sz w:val="17"/>
                <w:lang w:val="fr-BE"/>
              </w:rPr>
              <w:t>Which</w:t>
            </w:r>
            <w:proofErr w:type="spellEnd"/>
            <w:r w:rsidRPr="008C1AB2">
              <w:rPr>
                <w:i/>
                <w:sz w:val="17"/>
                <w:lang w:val="fr-BE"/>
              </w:rPr>
              <w:t xml:space="preserve"> public support? </w:t>
            </w:r>
            <w:r w:rsidRPr="00C14936">
              <w:rPr>
                <w:i/>
                <w:sz w:val="17"/>
                <w:lang w:val="en"/>
              </w:rPr>
              <w:t>Comparing voting instruments in the context of transformative urban mobility policy proposals</w:t>
            </w:r>
          </w:p>
        </w:tc>
        <w:tc>
          <w:tcPr>
            <w:tcW w:w="415" w:type="dxa"/>
            <w:vMerge/>
            <w:textDirection w:val="tbRl"/>
          </w:tcPr>
          <w:p w14:paraId="08FD4BFB" w14:textId="221C2194" w:rsidR="00871E74" w:rsidRPr="00871E74" w:rsidRDefault="00871E74" w:rsidP="00871E74">
            <w:pPr>
              <w:ind w:left="113" w:right="113"/>
              <w:rPr>
                <w:color w:val="C00000"/>
                <w:lang w:val="en-US"/>
              </w:rPr>
            </w:pPr>
          </w:p>
        </w:tc>
      </w:tr>
      <w:tr w:rsidR="00871E74" w14:paraId="5918317E" w14:textId="77777777" w:rsidTr="00871E74">
        <w:trPr>
          <w:trHeight w:val="166"/>
          <w:jc w:val="center"/>
        </w:trPr>
        <w:tc>
          <w:tcPr>
            <w:tcW w:w="814" w:type="dxa"/>
            <w:tcBorders>
              <w:top w:val="single" w:sz="2" w:space="0" w:color="D9D9D9"/>
              <w:left w:val="nil"/>
              <w:bottom w:val="single" w:sz="4" w:space="0" w:color="auto"/>
              <w:right w:val="none" w:sz="0" w:space="0" w:color="FFFFFF"/>
            </w:tcBorders>
            <w:shd w:val="clear" w:color="auto" w:fill="F2F2F2"/>
            <w:tcMar>
              <w:top w:w="100" w:type="dxa"/>
              <w:left w:w="120" w:type="dxa"/>
              <w:bottom w:w="100" w:type="dxa"/>
              <w:right w:w="80" w:type="dxa"/>
            </w:tcMar>
          </w:tcPr>
          <w:p w14:paraId="78A31707" w14:textId="77777777" w:rsidR="00871E74" w:rsidRDefault="00871E74">
            <w:r>
              <w:rPr>
                <w:b/>
                <w:sz w:val="17"/>
              </w:rPr>
              <w:t>12h00</w:t>
            </w:r>
          </w:p>
        </w:tc>
        <w:tc>
          <w:tcPr>
            <w:tcW w:w="8967" w:type="dxa"/>
            <w:tcBorders>
              <w:top w:val="single" w:sz="2" w:space="0" w:color="D9D9D9"/>
              <w:left w:val="single" w:sz="2" w:space="0" w:color="1E8A6E"/>
              <w:bottom w:val="single" w:sz="4" w:space="0" w:color="auto"/>
              <w:right w:val="none" w:sz="0" w:space="0" w:color="FFFFFF"/>
            </w:tcBorders>
            <w:shd w:val="clear" w:color="auto" w:fill="F2F2F2"/>
            <w:tcMar>
              <w:top w:w="100" w:type="dxa"/>
              <w:left w:w="140" w:type="dxa"/>
              <w:bottom w:w="100" w:type="dxa"/>
              <w:right w:w="120" w:type="dxa"/>
            </w:tcMar>
          </w:tcPr>
          <w:p w14:paraId="43B0EAA5" w14:textId="77777777" w:rsidR="00871E74" w:rsidRDefault="00871E74">
            <w:pPr>
              <w:rPr>
                <w:bCs/>
                <w:sz w:val="17"/>
              </w:rPr>
            </w:pPr>
            <w:r w:rsidRPr="00CA5AB4">
              <w:rPr>
                <w:bCs/>
                <w:sz w:val="17"/>
              </w:rPr>
              <w:t>Lunch break</w:t>
            </w:r>
          </w:p>
          <w:p w14:paraId="23B76CB1" w14:textId="77777777" w:rsidR="004B0BA5" w:rsidRPr="00CA5AB4" w:rsidRDefault="004B0BA5">
            <w:pPr>
              <w:rPr>
                <w:bCs/>
              </w:rPr>
            </w:pPr>
          </w:p>
        </w:tc>
        <w:tc>
          <w:tcPr>
            <w:tcW w:w="415" w:type="dxa"/>
            <w:vMerge/>
            <w:textDirection w:val="tbRl"/>
          </w:tcPr>
          <w:p w14:paraId="4ED19399" w14:textId="43ACAE35" w:rsidR="00871E74" w:rsidRPr="00871E74" w:rsidRDefault="00871E74" w:rsidP="00871E74">
            <w:pPr>
              <w:ind w:left="113" w:right="113"/>
              <w:rPr>
                <w:color w:val="C00000"/>
              </w:rPr>
            </w:pPr>
          </w:p>
        </w:tc>
      </w:tr>
      <w:tr w:rsidR="00871E74" w14:paraId="6956171F" w14:textId="77777777" w:rsidTr="00871E74">
        <w:trPr>
          <w:trHeight w:val="820"/>
          <w:jc w:val="center"/>
        </w:trPr>
        <w:tc>
          <w:tcPr>
            <w:tcW w:w="814" w:type="dxa"/>
            <w:tcBorders>
              <w:top w:val="single" w:sz="4" w:space="0" w:color="auto"/>
              <w:left w:val="none" w:sz="0" w:space="0" w:color="FFFFFF"/>
              <w:bottom w:val="single" w:sz="2" w:space="0" w:color="D9D9D9"/>
              <w:right w:val="none" w:sz="0" w:space="0" w:color="FFFFFF"/>
            </w:tcBorders>
            <w:shd w:val="clear" w:color="auto" w:fill="FFFFFF"/>
            <w:tcMar>
              <w:top w:w="100" w:type="dxa"/>
              <w:left w:w="120" w:type="dxa"/>
              <w:bottom w:w="100" w:type="dxa"/>
              <w:right w:w="80" w:type="dxa"/>
            </w:tcMar>
          </w:tcPr>
          <w:p w14:paraId="102F919B" w14:textId="77777777" w:rsidR="00871E74" w:rsidRDefault="00871E74">
            <w:r>
              <w:rPr>
                <w:b/>
                <w:sz w:val="17"/>
              </w:rPr>
              <w:t>13h00</w:t>
            </w:r>
          </w:p>
        </w:tc>
        <w:tc>
          <w:tcPr>
            <w:tcW w:w="8967" w:type="dxa"/>
            <w:tcBorders>
              <w:top w:val="single" w:sz="4" w:space="0" w:color="auto"/>
              <w:left w:val="single" w:sz="2" w:space="0" w:color="1E8A6E"/>
              <w:bottom w:val="single" w:sz="2" w:space="0" w:color="D9D9D9"/>
              <w:right w:val="none" w:sz="0" w:space="0" w:color="FFFFFF"/>
            </w:tcBorders>
            <w:shd w:val="clear" w:color="auto" w:fill="FFFFFF"/>
            <w:tcMar>
              <w:top w:w="100" w:type="dxa"/>
              <w:left w:w="140" w:type="dxa"/>
              <w:bottom w:w="100" w:type="dxa"/>
              <w:right w:w="120" w:type="dxa"/>
            </w:tcMar>
          </w:tcPr>
          <w:p w14:paraId="0BF1B131" w14:textId="684D27BD" w:rsidR="00871E74" w:rsidRPr="00871E74" w:rsidRDefault="00871E74">
            <w:pPr>
              <w:rPr>
                <w:lang w:val="en-US"/>
              </w:rPr>
            </w:pPr>
            <w:r w:rsidRPr="00871E74">
              <w:rPr>
                <w:b/>
                <w:sz w:val="17"/>
                <w:lang w:val="en-US"/>
              </w:rPr>
              <w:t>Contributed talks V: Allocati</w:t>
            </w:r>
            <w:r w:rsidR="00CA5AB4">
              <w:rPr>
                <w:b/>
                <w:sz w:val="17"/>
                <w:lang w:val="en-US"/>
              </w:rPr>
              <w:t>ng Chances and Votes</w:t>
            </w:r>
          </w:p>
          <w:p w14:paraId="52275C06" w14:textId="77777777" w:rsidR="00871E74" w:rsidRPr="00871E74" w:rsidRDefault="00871E74">
            <w:pPr>
              <w:rPr>
                <w:lang w:val="en-US"/>
              </w:rPr>
            </w:pPr>
            <w:r w:rsidRPr="00871E74">
              <w:rPr>
                <w:sz w:val="17"/>
                <w:lang w:val="en-US"/>
              </w:rPr>
              <w:t xml:space="preserve">Stefan Wintein (Erasmus Universiteit Rotterdam) — </w:t>
            </w:r>
            <w:r w:rsidRPr="00871E74">
              <w:rPr>
                <w:i/>
                <w:sz w:val="17"/>
                <w:lang w:val="en-US"/>
              </w:rPr>
              <w:t>Fair Lotteries for Equal Conflict Cases: A Principled Approach</w:t>
            </w:r>
          </w:p>
          <w:p w14:paraId="4B022700" w14:textId="77777777" w:rsidR="00871E74" w:rsidRPr="00871E74" w:rsidRDefault="00871E74">
            <w:pPr>
              <w:rPr>
                <w:lang w:val="en-US"/>
              </w:rPr>
            </w:pPr>
            <w:r w:rsidRPr="00871E74">
              <w:rPr>
                <w:sz w:val="17"/>
                <w:lang w:val="en-US"/>
              </w:rPr>
              <w:t xml:space="preserve">Théo </w:t>
            </w:r>
            <w:proofErr w:type="spellStart"/>
            <w:r w:rsidRPr="00871E74">
              <w:rPr>
                <w:sz w:val="17"/>
                <w:lang w:val="en-US"/>
              </w:rPr>
              <w:t>Delemazure</w:t>
            </w:r>
            <w:proofErr w:type="spellEnd"/>
            <w:r w:rsidRPr="00871E74">
              <w:rPr>
                <w:sz w:val="17"/>
                <w:lang w:val="en-US"/>
              </w:rPr>
              <w:t xml:space="preserve"> (Universiteit van Amsterdam) et al. — </w:t>
            </w:r>
            <w:r w:rsidRPr="00871E74">
              <w:rPr>
                <w:i/>
                <w:sz w:val="17"/>
                <w:lang w:val="en-US"/>
              </w:rPr>
              <w:t>Reallocating Wasted Votes in Proportional Parliamentary Elections with Thresholds</w:t>
            </w:r>
          </w:p>
        </w:tc>
        <w:tc>
          <w:tcPr>
            <w:tcW w:w="415" w:type="dxa"/>
            <w:vMerge w:val="restart"/>
            <w:textDirection w:val="tbRl"/>
          </w:tcPr>
          <w:p w14:paraId="2C9EF628" w14:textId="3F8FD5FE" w:rsidR="00871E74" w:rsidRPr="00871E74" w:rsidRDefault="00871E74" w:rsidP="00871E74">
            <w:pPr>
              <w:ind w:left="113" w:right="113"/>
              <w:rPr>
                <w:color w:val="C00000"/>
              </w:rPr>
            </w:pPr>
            <w:r w:rsidRPr="00871E74">
              <w:rPr>
                <w:color w:val="C00000"/>
                <w:sz w:val="16"/>
              </w:rPr>
              <w:t>@Theil</w:t>
            </w:r>
            <w:r w:rsidR="004B0BA5">
              <w:rPr>
                <w:color w:val="C00000"/>
                <w:sz w:val="16"/>
              </w:rPr>
              <w:t xml:space="preserve"> (C building), room </w:t>
            </w:r>
            <w:r w:rsidRPr="00871E74">
              <w:rPr>
                <w:color w:val="C00000"/>
                <w:sz w:val="16"/>
              </w:rPr>
              <w:t>1-</w:t>
            </w:r>
            <w:r w:rsidR="004B0BA5">
              <w:rPr>
                <w:color w:val="C00000"/>
                <w:sz w:val="16"/>
              </w:rPr>
              <w:t>0</w:t>
            </w:r>
            <w:r w:rsidRPr="00871E74">
              <w:rPr>
                <w:color w:val="C00000"/>
                <w:sz w:val="16"/>
              </w:rPr>
              <w:t>3</w:t>
            </w:r>
          </w:p>
        </w:tc>
      </w:tr>
      <w:tr w:rsidR="00871E74" w14:paraId="66F81A75" w14:textId="77777777" w:rsidTr="00871E74">
        <w:trPr>
          <w:trHeight w:val="166"/>
          <w:jc w:val="center"/>
        </w:trPr>
        <w:tc>
          <w:tcPr>
            <w:tcW w:w="814" w:type="dxa"/>
            <w:tcBorders>
              <w:top w:val="single" w:sz="2" w:space="0" w:color="D9D9D9"/>
              <w:left w:val="none" w:sz="0" w:space="0" w:color="FFFFFF"/>
              <w:bottom w:val="single" w:sz="2" w:space="0" w:color="D9D9D9"/>
              <w:right w:val="none" w:sz="0" w:space="0" w:color="FFFFFF"/>
            </w:tcBorders>
            <w:shd w:val="clear" w:color="auto" w:fill="F2F2F2"/>
            <w:tcMar>
              <w:top w:w="100" w:type="dxa"/>
              <w:left w:w="120" w:type="dxa"/>
              <w:bottom w:w="100" w:type="dxa"/>
              <w:right w:w="80" w:type="dxa"/>
            </w:tcMar>
          </w:tcPr>
          <w:p w14:paraId="26C2021D" w14:textId="77777777" w:rsidR="00871E74" w:rsidRDefault="00871E74">
            <w:r>
              <w:rPr>
                <w:b/>
                <w:sz w:val="17"/>
              </w:rPr>
              <w:t>14h00</w:t>
            </w:r>
          </w:p>
        </w:tc>
        <w:tc>
          <w:tcPr>
            <w:tcW w:w="8967" w:type="dxa"/>
            <w:tcBorders>
              <w:top w:val="single" w:sz="2" w:space="0" w:color="D9D9D9"/>
              <w:left w:val="single" w:sz="2" w:space="0" w:color="1E8A6E"/>
              <w:bottom w:val="single" w:sz="2" w:space="0" w:color="D9D9D9"/>
              <w:right w:val="none" w:sz="0" w:space="0" w:color="FFFFFF"/>
            </w:tcBorders>
            <w:shd w:val="clear" w:color="auto" w:fill="F2F2F2"/>
            <w:tcMar>
              <w:top w:w="100" w:type="dxa"/>
              <w:left w:w="140" w:type="dxa"/>
              <w:bottom w:w="100" w:type="dxa"/>
              <w:right w:w="120" w:type="dxa"/>
            </w:tcMar>
          </w:tcPr>
          <w:p w14:paraId="7BD7E40E" w14:textId="77777777" w:rsidR="00871E74" w:rsidRPr="00CA5AB4" w:rsidRDefault="00871E74">
            <w:pPr>
              <w:rPr>
                <w:bCs/>
              </w:rPr>
            </w:pPr>
            <w:r w:rsidRPr="00CA5AB4">
              <w:rPr>
                <w:bCs/>
                <w:sz w:val="17"/>
              </w:rPr>
              <w:t>Coffee break</w:t>
            </w:r>
          </w:p>
        </w:tc>
        <w:tc>
          <w:tcPr>
            <w:tcW w:w="415" w:type="dxa"/>
            <w:vMerge/>
            <w:textDirection w:val="tbRl"/>
          </w:tcPr>
          <w:p w14:paraId="2454DEE7" w14:textId="0465F6C0" w:rsidR="00871E74" w:rsidRPr="00871E74" w:rsidRDefault="00871E74" w:rsidP="00871E74">
            <w:pPr>
              <w:ind w:left="113" w:right="113"/>
              <w:rPr>
                <w:color w:val="C00000"/>
              </w:rPr>
            </w:pPr>
          </w:p>
        </w:tc>
      </w:tr>
      <w:tr w:rsidR="00871E74" w:rsidRPr="00C14936" w14:paraId="38748965" w14:textId="77777777" w:rsidTr="00871E74">
        <w:trPr>
          <w:trHeight w:val="659"/>
          <w:jc w:val="center"/>
        </w:trPr>
        <w:tc>
          <w:tcPr>
            <w:tcW w:w="814" w:type="dxa"/>
            <w:tcBorders>
              <w:top w:val="single" w:sz="2" w:space="0" w:color="D9D9D9"/>
              <w:left w:val="none" w:sz="0" w:space="0" w:color="FFFFFF"/>
              <w:bottom w:val="single" w:sz="2" w:space="0" w:color="D9D9D9"/>
              <w:right w:val="none" w:sz="0" w:space="0" w:color="FFFFFF"/>
            </w:tcBorders>
            <w:shd w:val="clear" w:color="auto" w:fill="FFFFFF"/>
            <w:tcMar>
              <w:top w:w="100" w:type="dxa"/>
              <w:left w:w="120" w:type="dxa"/>
              <w:bottom w:w="100" w:type="dxa"/>
              <w:right w:w="80" w:type="dxa"/>
            </w:tcMar>
          </w:tcPr>
          <w:p w14:paraId="571BF2D6" w14:textId="77777777" w:rsidR="00871E74" w:rsidRDefault="00871E74">
            <w:r>
              <w:rPr>
                <w:b/>
                <w:sz w:val="17"/>
              </w:rPr>
              <w:t>14h15</w:t>
            </w:r>
          </w:p>
        </w:tc>
        <w:tc>
          <w:tcPr>
            <w:tcW w:w="8967" w:type="dxa"/>
            <w:tcBorders>
              <w:top w:val="single" w:sz="2" w:space="0" w:color="D9D9D9"/>
              <w:left w:val="single" w:sz="2" w:space="0" w:color="1E8A6E"/>
              <w:bottom w:val="single" w:sz="2" w:space="0" w:color="D9D9D9"/>
              <w:right w:val="none" w:sz="0" w:space="0" w:color="FFFFFF"/>
            </w:tcBorders>
            <w:shd w:val="clear" w:color="auto" w:fill="FFFFFF"/>
            <w:tcMar>
              <w:top w:w="100" w:type="dxa"/>
              <w:left w:w="140" w:type="dxa"/>
              <w:bottom w:w="100" w:type="dxa"/>
              <w:right w:w="120" w:type="dxa"/>
            </w:tcMar>
          </w:tcPr>
          <w:p w14:paraId="663FF101" w14:textId="77777777" w:rsidR="00871E74" w:rsidRPr="00871E74" w:rsidRDefault="00871E74">
            <w:pPr>
              <w:rPr>
                <w:lang w:val="en-US"/>
              </w:rPr>
            </w:pPr>
            <w:r w:rsidRPr="00871E74">
              <w:rPr>
                <w:b/>
                <w:sz w:val="17"/>
                <w:lang w:val="en-US"/>
              </w:rPr>
              <w:t>Contributed talks VI: Deliberation Platforms and Digital Sovereignty</w:t>
            </w:r>
          </w:p>
          <w:p w14:paraId="3E0D9778" w14:textId="77777777" w:rsidR="00871E74" w:rsidRPr="00871E74" w:rsidRDefault="00871E74">
            <w:pPr>
              <w:rPr>
                <w:lang w:val="en-US"/>
              </w:rPr>
            </w:pPr>
            <w:r w:rsidRPr="00871E74">
              <w:rPr>
                <w:sz w:val="17"/>
                <w:lang w:val="en-US"/>
              </w:rPr>
              <w:t xml:space="preserve">Furkan Akar (KU Leuven) — </w:t>
            </w:r>
            <w:r w:rsidRPr="00871E74">
              <w:rPr>
                <w:i/>
                <w:sz w:val="17"/>
                <w:lang w:val="en-US"/>
              </w:rPr>
              <w:t>From Platform Supply to Democratic Capacity: Evidence from a Census of 141 Digital Democracy Platforms and Ten Deployments</w:t>
            </w:r>
          </w:p>
          <w:p w14:paraId="2A78A3D9" w14:textId="1A79F31E" w:rsidR="00871E74" w:rsidRPr="00A85CFF" w:rsidRDefault="00871E74">
            <w:pPr>
              <w:rPr>
                <w:sz w:val="17"/>
                <w:lang w:val="en-BE"/>
              </w:rPr>
            </w:pPr>
            <w:r w:rsidRPr="00871E74">
              <w:rPr>
                <w:sz w:val="17"/>
                <w:lang w:val="en-US"/>
              </w:rPr>
              <w:t>Oliver Michel (</w:t>
            </w:r>
            <w:proofErr w:type="spellStart"/>
            <w:r w:rsidR="00A85CFF" w:rsidRPr="00A85CFF">
              <w:rPr>
                <w:sz w:val="17"/>
                <w:lang w:val="en-BE"/>
              </w:rPr>
              <w:t>DirectDemocracy</w:t>
            </w:r>
            <w:proofErr w:type="spellEnd"/>
            <w:r w:rsidR="00A85CFF" w:rsidRPr="00A85CFF">
              <w:rPr>
                <w:sz w:val="17"/>
                <w:lang w:val="en-BE"/>
              </w:rPr>
              <w:t xml:space="preserve"> Association</w:t>
            </w:r>
            <w:r w:rsidRPr="00871E74">
              <w:rPr>
                <w:sz w:val="17"/>
                <w:lang w:val="en-US"/>
              </w:rPr>
              <w:t xml:space="preserve">) — </w:t>
            </w:r>
            <w:r w:rsidRPr="00871E74">
              <w:rPr>
                <w:i/>
                <w:sz w:val="17"/>
                <w:lang w:val="en-US"/>
              </w:rPr>
              <w:t>Demist: an Emergent, Global, Federal Direct Democracy</w:t>
            </w:r>
          </w:p>
        </w:tc>
        <w:tc>
          <w:tcPr>
            <w:tcW w:w="415" w:type="dxa"/>
            <w:vMerge/>
            <w:textDirection w:val="tbRl"/>
          </w:tcPr>
          <w:p w14:paraId="713279B8" w14:textId="5A15CB81" w:rsidR="00871E74" w:rsidRPr="00871E74" w:rsidRDefault="00871E74" w:rsidP="00871E74">
            <w:pPr>
              <w:ind w:left="113" w:right="113"/>
              <w:rPr>
                <w:color w:val="C00000"/>
                <w:lang w:val="en-US"/>
              </w:rPr>
            </w:pPr>
          </w:p>
        </w:tc>
      </w:tr>
      <w:tr w:rsidR="00871E74" w14:paraId="3C4FA957" w14:textId="77777777" w:rsidTr="00DC7D2B">
        <w:trPr>
          <w:trHeight w:val="159"/>
          <w:jc w:val="center"/>
        </w:trPr>
        <w:tc>
          <w:tcPr>
            <w:tcW w:w="814" w:type="dxa"/>
            <w:tcBorders>
              <w:top w:val="single" w:sz="2" w:space="0" w:color="D9D9D9"/>
              <w:left w:val="none" w:sz="0" w:space="0" w:color="FFFFFF"/>
              <w:bottom w:val="single" w:sz="2" w:space="0" w:color="D9D9D9"/>
              <w:right w:val="none" w:sz="0" w:space="0" w:color="FFFFFF"/>
            </w:tcBorders>
            <w:shd w:val="clear" w:color="auto" w:fill="F2F2F2"/>
            <w:tcMar>
              <w:top w:w="100" w:type="dxa"/>
              <w:left w:w="120" w:type="dxa"/>
              <w:bottom w:w="100" w:type="dxa"/>
              <w:right w:w="80" w:type="dxa"/>
            </w:tcMar>
          </w:tcPr>
          <w:p w14:paraId="69C7C3C7" w14:textId="77777777" w:rsidR="00871E74" w:rsidRDefault="00871E74">
            <w:r>
              <w:rPr>
                <w:b/>
                <w:sz w:val="17"/>
              </w:rPr>
              <w:t>15h15</w:t>
            </w:r>
          </w:p>
        </w:tc>
        <w:tc>
          <w:tcPr>
            <w:tcW w:w="8967" w:type="dxa"/>
            <w:tcBorders>
              <w:top w:val="single" w:sz="2" w:space="0" w:color="D9D9D9"/>
              <w:left w:val="single" w:sz="2" w:space="0" w:color="1E8A6E"/>
              <w:bottom w:val="single" w:sz="2" w:space="0" w:color="D9D9D9"/>
              <w:right w:val="none" w:sz="0" w:space="0" w:color="FFFFFF"/>
            </w:tcBorders>
            <w:shd w:val="clear" w:color="auto" w:fill="F2F2F2"/>
            <w:tcMar>
              <w:top w:w="100" w:type="dxa"/>
              <w:left w:w="140" w:type="dxa"/>
              <w:bottom w:w="100" w:type="dxa"/>
              <w:right w:w="120" w:type="dxa"/>
            </w:tcMar>
          </w:tcPr>
          <w:p w14:paraId="2FAE8C33" w14:textId="77777777" w:rsidR="00871E74" w:rsidRPr="00CA5AB4" w:rsidRDefault="00871E74">
            <w:pPr>
              <w:rPr>
                <w:bCs/>
              </w:rPr>
            </w:pPr>
            <w:r w:rsidRPr="00CA5AB4">
              <w:rPr>
                <w:bCs/>
                <w:sz w:val="17"/>
              </w:rPr>
              <w:t>Coffee break</w:t>
            </w:r>
          </w:p>
        </w:tc>
        <w:tc>
          <w:tcPr>
            <w:tcW w:w="415" w:type="dxa"/>
            <w:vMerge/>
            <w:textDirection w:val="tbRl"/>
          </w:tcPr>
          <w:p w14:paraId="56455160" w14:textId="649242B3" w:rsidR="00871E74" w:rsidRPr="00871E74" w:rsidRDefault="00871E74" w:rsidP="00871E74">
            <w:pPr>
              <w:ind w:left="113" w:right="113"/>
              <w:rPr>
                <w:color w:val="C00000"/>
              </w:rPr>
            </w:pPr>
          </w:p>
        </w:tc>
      </w:tr>
      <w:tr w:rsidR="00871E74" w:rsidRPr="00C14936" w14:paraId="1B2128E5" w14:textId="77777777" w:rsidTr="00DC7D2B">
        <w:trPr>
          <w:trHeight w:val="333"/>
          <w:jc w:val="center"/>
        </w:trPr>
        <w:tc>
          <w:tcPr>
            <w:tcW w:w="814" w:type="dxa"/>
            <w:tcBorders>
              <w:top w:val="single" w:sz="2" w:space="0" w:color="D9D9D9"/>
              <w:left w:val="nil"/>
              <w:bottom w:val="single" w:sz="4" w:space="0" w:color="auto"/>
              <w:right w:val="none" w:sz="0" w:space="0" w:color="FFFFFF"/>
            </w:tcBorders>
            <w:shd w:val="clear" w:color="auto" w:fill="DDEDE9"/>
            <w:tcMar>
              <w:top w:w="100" w:type="dxa"/>
              <w:left w:w="120" w:type="dxa"/>
              <w:bottom w:w="100" w:type="dxa"/>
              <w:right w:w="80" w:type="dxa"/>
            </w:tcMar>
          </w:tcPr>
          <w:p w14:paraId="572043CC" w14:textId="77777777" w:rsidR="00871E74" w:rsidRDefault="00871E74">
            <w:r>
              <w:rPr>
                <w:b/>
                <w:sz w:val="17"/>
              </w:rPr>
              <w:t>15h30</w:t>
            </w:r>
          </w:p>
        </w:tc>
        <w:tc>
          <w:tcPr>
            <w:tcW w:w="8967" w:type="dxa"/>
            <w:tcBorders>
              <w:top w:val="single" w:sz="2" w:space="0" w:color="D9D9D9"/>
              <w:left w:val="single" w:sz="2" w:space="0" w:color="1E8A6E"/>
              <w:bottom w:val="single" w:sz="4" w:space="0" w:color="auto"/>
              <w:right w:val="none" w:sz="0" w:space="0" w:color="FFFFFF"/>
            </w:tcBorders>
            <w:shd w:val="clear" w:color="auto" w:fill="DDEDE9"/>
            <w:tcMar>
              <w:top w:w="100" w:type="dxa"/>
              <w:left w:w="140" w:type="dxa"/>
              <w:bottom w:w="100" w:type="dxa"/>
              <w:right w:w="120" w:type="dxa"/>
            </w:tcMar>
          </w:tcPr>
          <w:p w14:paraId="0BD5D71C" w14:textId="2DADE078" w:rsidR="00871E74" w:rsidRDefault="00871E74">
            <w:proofErr w:type="spellStart"/>
            <w:r>
              <w:rPr>
                <w:b/>
                <w:sz w:val="17"/>
              </w:rPr>
              <w:t>Keynote</w:t>
            </w:r>
            <w:proofErr w:type="spellEnd"/>
            <w:r>
              <w:rPr>
                <w:b/>
                <w:sz w:val="17"/>
              </w:rPr>
              <w:t xml:space="preserve">: </w:t>
            </w:r>
            <w:proofErr w:type="spellStart"/>
            <w:r>
              <w:rPr>
                <w:b/>
                <w:sz w:val="17"/>
              </w:rPr>
              <w:t>Davide</w:t>
            </w:r>
            <w:proofErr w:type="spellEnd"/>
            <w:r>
              <w:rPr>
                <w:b/>
                <w:sz w:val="17"/>
              </w:rPr>
              <w:t xml:space="preserve"> </w:t>
            </w:r>
            <w:proofErr w:type="spellStart"/>
            <w:r>
              <w:rPr>
                <w:b/>
                <w:sz w:val="17"/>
              </w:rPr>
              <w:t>Grossi</w:t>
            </w:r>
            <w:proofErr w:type="spellEnd"/>
            <w:r>
              <w:rPr>
                <w:b/>
                <w:sz w:val="17"/>
              </w:rPr>
              <w:t xml:space="preserve"> (Rijksuniversiteit Groningen</w:t>
            </w:r>
            <w:r w:rsidR="00F37E3F">
              <w:rPr>
                <w:b/>
                <w:sz w:val="17"/>
              </w:rPr>
              <w:t xml:space="preserve"> &amp; Universiteit van Amsterdam</w:t>
            </w:r>
            <w:r>
              <w:rPr>
                <w:b/>
                <w:sz w:val="17"/>
              </w:rPr>
              <w:t>)</w:t>
            </w:r>
          </w:p>
          <w:p w14:paraId="25A9F32A" w14:textId="77777777" w:rsidR="00871E74" w:rsidRPr="00871E74" w:rsidRDefault="00871E74">
            <w:pPr>
              <w:rPr>
                <w:lang w:val="en-US"/>
              </w:rPr>
            </w:pPr>
            <w:r w:rsidRPr="00871E74">
              <w:rPr>
                <w:i/>
                <w:sz w:val="17"/>
                <w:lang w:val="en-US"/>
              </w:rPr>
              <w:t>Computational Challenges in Scaling Democratic Deliberation</w:t>
            </w:r>
          </w:p>
        </w:tc>
        <w:tc>
          <w:tcPr>
            <w:tcW w:w="415" w:type="dxa"/>
            <w:vMerge/>
            <w:textDirection w:val="tbRl"/>
          </w:tcPr>
          <w:p w14:paraId="03E24942" w14:textId="56B7CF23" w:rsidR="00871E74" w:rsidRPr="004B0BA5" w:rsidRDefault="00871E74" w:rsidP="00871E74">
            <w:pPr>
              <w:ind w:left="113" w:right="113"/>
              <w:rPr>
                <w:color w:val="C00000"/>
                <w:lang w:val="en-US"/>
              </w:rPr>
            </w:pPr>
          </w:p>
        </w:tc>
      </w:tr>
      <w:tr w:rsidR="00871E74" w:rsidRPr="00C14936" w14:paraId="0D9ADCA8" w14:textId="77777777" w:rsidTr="00871E74">
        <w:trPr>
          <w:cantSplit/>
          <w:trHeight w:val="323"/>
          <w:jc w:val="center"/>
        </w:trPr>
        <w:tc>
          <w:tcPr>
            <w:tcW w:w="814" w:type="dxa"/>
            <w:tcBorders>
              <w:top w:val="single" w:sz="2" w:space="0" w:color="D9D9D9"/>
              <w:left w:val="nil"/>
              <w:bottom w:val="single" w:sz="4" w:space="0" w:color="auto"/>
              <w:right w:val="none" w:sz="0" w:space="0" w:color="FFFFFF"/>
            </w:tcBorders>
            <w:shd w:val="clear" w:color="auto" w:fill="FFFFFF"/>
            <w:tcMar>
              <w:top w:w="100" w:type="dxa"/>
              <w:left w:w="120" w:type="dxa"/>
              <w:bottom w:w="100" w:type="dxa"/>
              <w:right w:w="80" w:type="dxa"/>
            </w:tcMar>
          </w:tcPr>
          <w:p w14:paraId="622A8A58" w14:textId="77777777" w:rsidR="00871E74" w:rsidRDefault="00871E74">
            <w:r>
              <w:rPr>
                <w:b/>
                <w:sz w:val="17"/>
              </w:rPr>
              <w:t>18h00</w:t>
            </w:r>
          </w:p>
        </w:tc>
        <w:tc>
          <w:tcPr>
            <w:tcW w:w="9382" w:type="dxa"/>
            <w:gridSpan w:val="2"/>
            <w:tcBorders>
              <w:top w:val="single" w:sz="2" w:space="0" w:color="D9D9D9"/>
              <w:left w:val="single" w:sz="2" w:space="0" w:color="1E8A6E"/>
              <w:bottom w:val="single" w:sz="4" w:space="0" w:color="auto"/>
              <w:right w:val="none" w:sz="0" w:space="0" w:color="FFFFFF"/>
            </w:tcBorders>
            <w:shd w:val="clear" w:color="auto" w:fill="FFFFFF"/>
            <w:tcMar>
              <w:top w:w="100" w:type="dxa"/>
              <w:left w:w="140" w:type="dxa"/>
              <w:bottom w:w="100" w:type="dxa"/>
              <w:right w:w="120" w:type="dxa"/>
            </w:tcMar>
          </w:tcPr>
          <w:p w14:paraId="109DA3A2" w14:textId="77777777" w:rsidR="00871E74" w:rsidRDefault="00871E74" w:rsidP="00871E74">
            <w:pPr>
              <w:rPr>
                <w:color w:val="C00000"/>
                <w:sz w:val="16"/>
              </w:rPr>
            </w:pPr>
            <w:r>
              <w:rPr>
                <w:b/>
                <w:sz w:val="17"/>
              </w:rPr>
              <w:t xml:space="preserve">Conference </w:t>
            </w:r>
            <w:proofErr w:type="spellStart"/>
            <w:r>
              <w:rPr>
                <w:b/>
                <w:sz w:val="17"/>
              </w:rPr>
              <w:t>Dinner</w:t>
            </w:r>
            <w:proofErr w:type="spellEnd"/>
            <w:r>
              <w:rPr>
                <w:b/>
                <w:sz w:val="17"/>
              </w:rPr>
              <w:t xml:space="preserve">  </w:t>
            </w:r>
            <w:r w:rsidRPr="00871E74">
              <w:rPr>
                <w:color w:val="C00000"/>
                <w:sz w:val="16"/>
              </w:rPr>
              <w:t xml:space="preserve">@Spirit Rotterdam, Mariniersweg </w:t>
            </w:r>
            <w:r>
              <w:rPr>
                <w:color w:val="C00000"/>
                <w:sz w:val="16"/>
              </w:rPr>
              <w:t>9</w:t>
            </w:r>
          </w:p>
          <w:p w14:paraId="31991B4E" w14:textId="77777777" w:rsidR="00CA5AB4" w:rsidRDefault="00CA5AB4" w:rsidP="00871E74">
            <w:pPr>
              <w:rPr>
                <w:bCs/>
                <w:sz w:val="16"/>
                <w:lang w:val="en-US"/>
              </w:rPr>
            </w:pPr>
            <w:r w:rsidRPr="00CA5AB4">
              <w:rPr>
                <w:bCs/>
                <w:sz w:val="16"/>
                <w:lang w:val="en-US"/>
              </w:rPr>
              <w:t xml:space="preserve">This is roughly a 30 </w:t>
            </w:r>
            <w:proofErr w:type="spellStart"/>
            <w:r w:rsidRPr="00CA5AB4">
              <w:rPr>
                <w:bCs/>
                <w:sz w:val="16"/>
                <w:lang w:val="en-US"/>
              </w:rPr>
              <w:t>minutes walk</w:t>
            </w:r>
            <w:proofErr w:type="spellEnd"/>
            <w:r w:rsidRPr="00CA5AB4">
              <w:rPr>
                <w:bCs/>
                <w:sz w:val="16"/>
                <w:lang w:val="en-US"/>
              </w:rPr>
              <w:t xml:space="preserve"> from campus. It can also easily be reached by the tram.</w:t>
            </w:r>
          </w:p>
          <w:p w14:paraId="43256B86" w14:textId="64F03F71" w:rsidR="008A73CF" w:rsidRPr="00CA5AB4" w:rsidRDefault="008A73CF" w:rsidP="00871E74">
            <w:pPr>
              <w:rPr>
                <w:bCs/>
                <w:sz w:val="17"/>
                <w:lang w:val="en-US"/>
              </w:rPr>
            </w:pPr>
            <w:r>
              <w:rPr>
                <w:bCs/>
                <w:sz w:val="17"/>
                <w:lang w:val="en-US"/>
              </w:rPr>
              <w:t xml:space="preserve">Dinner is covered for keynote speakers only. </w:t>
            </w:r>
            <w:r w:rsidR="0017651F">
              <w:rPr>
                <w:bCs/>
                <w:sz w:val="17"/>
                <w:lang w:val="en-US"/>
              </w:rPr>
              <w:t>Others</w:t>
            </w:r>
            <w:r>
              <w:rPr>
                <w:bCs/>
                <w:sz w:val="17"/>
                <w:lang w:val="en-US"/>
              </w:rPr>
              <w:t xml:space="preserve"> pay a</w:t>
            </w:r>
            <w:r w:rsidR="0017651F">
              <w:rPr>
                <w:bCs/>
                <w:sz w:val="17"/>
                <w:lang w:val="en-US"/>
              </w:rPr>
              <w:t>n amount</w:t>
            </w:r>
            <w:r>
              <w:rPr>
                <w:bCs/>
                <w:sz w:val="17"/>
                <w:lang w:val="en-US"/>
              </w:rPr>
              <w:t xml:space="preserve"> proportional to the weight of your food; on average this will be around </w:t>
            </w:r>
            <w:r w:rsidR="00863F23">
              <w:rPr>
                <w:bCs/>
                <w:sz w:val="17"/>
                <w:lang w:val="en-US"/>
              </w:rPr>
              <w:t>25</w:t>
            </w:r>
            <w:r>
              <w:rPr>
                <w:bCs/>
                <w:sz w:val="17"/>
                <w:lang w:val="en-US"/>
              </w:rPr>
              <w:t>€</w:t>
            </w:r>
            <w:r w:rsidR="00863F23">
              <w:rPr>
                <w:bCs/>
                <w:sz w:val="17"/>
                <w:lang w:val="en-US"/>
              </w:rPr>
              <w:t xml:space="preserve"> for the food (drinks not included)</w:t>
            </w:r>
            <w:r>
              <w:rPr>
                <w:bCs/>
                <w:sz w:val="17"/>
                <w:lang w:val="en-US"/>
              </w:rPr>
              <w:t>.</w:t>
            </w:r>
          </w:p>
        </w:tc>
      </w:tr>
    </w:tbl>
    <w:p w14:paraId="090FDEDE" w14:textId="77777777" w:rsidR="004B2D40" w:rsidRPr="00CA5AB4" w:rsidRDefault="004B2D40">
      <w:pPr>
        <w:spacing w:after="320"/>
        <w:rPr>
          <w:lang w:val="en-US"/>
        </w:rPr>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6"/>
      </w:tblGrid>
      <w:tr w:rsidR="004B2D40" w14:paraId="45997028" w14:textId="77777777">
        <w:tc>
          <w:tcPr>
            <w:tcW w:w="0" w:type="auto"/>
            <w:tcBorders>
              <w:top w:val="none" w:sz="0" w:space="0" w:color="FFFFFF"/>
              <w:left w:val="none" w:sz="0" w:space="0" w:color="FFFFFF"/>
              <w:bottom w:val="none" w:sz="0" w:space="0" w:color="FFFFFF"/>
              <w:right w:val="none" w:sz="0" w:space="0" w:color="FFFFFF"/>
            </w:tcBorders>
            <w:shd w:val="clear" w:color="auto" w:fill="7A4FA0"/>
            <w:tcMar>
              <w:top w:w="160" w:type="dxa"/>
              <w:left w:w="220" w:type="dxa"/>
              <w:bottom w:w="160" w:type="dxa"/>
              <w:right w:w="220" w:type="dxa"/>
            </w:tcMar>
            <w:vAlign w:val="center"/>
          </w:tcPr>
          <w:p w14:paraId="40E5A937" w14:textId="77777777" w:rsidR="005A2244" w:rsidRDefault="00000000">
            <w:r>
              <w:rPr>
                <w:b/>
                <w:sz w:val="21"/>
              </w:rPr>
              <w:t>Friday 13 November · 10h00–12h30</w:t>
            </w:r>
          </w:p>
        </w:tc>
      </w:tr>
    </w:tbl>
    <w:p w14:paraId="2A708BD2" w14:textId="77777777" w:rsidR="004B2D40" w:rsidRDefault="004B2D40">
      <w:pPr>
        <w:spacing w:after="60"/>
      </w:pPr>
    </w:p>
    <w:tbl>
      <w:tblPr>
        <w:tblW w:w="5000" w:type="pct"/>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6"/>
        <w:gridCol w:w="8965"/>
        <w:gridCol w:w="425"/>
      </w:tblGrid>
      <w:tr w:rsidR="00DC7D2B" w:rsidRPr="004B0BA5" w14:paraId="6AB310A0" w14:textId="77777777" w:rsidTr="00DC7D2B">
        <w:trPr>
          <w:jc w:val="center"/>
        </w:trPr>
        <w:tc>
          <w:tcPr>
            <w:tcW w:w="816" w:type="dxa"/>
            <w:tcBorders>
              <w:top w:val="single" w:sz="4" w:space="0" w:color="auto"/>
              <w:left w:val="nil"/>
              <w:bottom w:val="single" w:sz="2" w:space="0" w:color="D9D9D9"/>
              <w:right w:val="none" w:sz="0" w:space="0" w:color="FFFFFF"/>
            </w:tcBorders>
            <w:shd w:val="clear" w:color="auto" w:fill="FFFFFF"/>
            <w:tcMar>
              <w:top w:w="100" w:type="dxa"/>
              <w:left w:w="120" w:type="dxa"/>
              <w:bottom w:w="100" w:type="dxa"/>
              <w:right w:w="80" w:type="dxa"/>
            </w:tcMar>
          </w:tcPr>
          <w:p w14:paraId="3AB0B03C" w14:textId="77777777" w:rsidR="00DC7D2B" w:rsidRDefault="00DC7D2B">
            <w:r>
              <w:rPr>
                <w:b/>
                <w:sz w:val="17"/>
              </w:rPr>
              <w:t>10h00</w:t>
            </w:r>
          </w:p>
        </w:tc>
        <w:tc>
          <w:tcPr>
            <w:tcW w:w="8965" w:type="dxa"/>
            <w:tcBorders>
              <w:top w:val="single" w:sz="4" w:space="0" w:color="auto"/>
              <w:left w:val="single" w:sz="2" w:space="0" w:color="7A4FA0"/>
              <w:bottom w:val="single" w:sz="2" w:space="0" w:color="D9D9D9"/>
              <w:right w:val="none" w:sz="0" w:space="0" w:color="FFFFFF"/>
            </w:tcBorders>
            <w:shd w:val="clear" w:color="auto" w:fill="FFFFFF"/>
            <w:tcMar>
              <w:top w:w="100" w:type="dxa"/>
              <w:left w:w="140" w:type="dxa"/>
              <w:bottom w:w="100" w:type="dxa"/>
              <w:right w:w="120" w:type="dxa"/>
            </w:tcMar>
          </w:tcPr>
          <w:p w14:paraId="2765C970" w14:textId="77777777" w:rsidR="00DC7D2B" w:rsidRPr="00871E74" w:rsidRDefault="00DC7D2B">
            <w:pPr>
              <w:rPr>
                <w:lang w:val="en-US"/>
              </w:rPr>
            </w:pPr>
            <w:r w:rsidRPr="00871E74">
              <w:rPr>
                <w:b/>
                <w:sz w:val="17"/>
                <w:lang w:val="en-US"/>
              </w:rPr>
              <w:t>Contributed talks VII: Democracy &amp; AI: Philosophical Reflections</w:t>
            </w:r>
          </w:p>
          <w:p w14:paraId="06ED86C9" w14:textId="77777777" w:rsidR="00DC7D2B" w:rsidRPr="00871E74" w:rsidRDefault="00DC7D2B">
            <w:pPr>
              <w:rPr>
                <w:lang w:val="en-US"/>
              </w:rPr>
            </w:pPr>
            <w:r w:rsidRPr="00871E74">
              <w:rPr>
                <w:sz w:val="17"/>
                <w:lang w:val="en-US"/>
              </w:rPr>
              <w:t xml:space="preserve">Eike </w:t>
            </w:r>
            <w:proofErr w:type="spellStart"/>
            <w:r w:rsidRPr="00871E74">
              <w:rPr>
                <w:sz w:val="17"/>
                <w:lang w:val="en-US"/>
              </w:rPr>
              <w:t>Düvel</w:t>
            </w:r>
            <w:proofErr w:type="spellEnd"/>
            <w:r w:rsidRPr="00871E74">
              <w:rPr>
                <w:sz w:val="17"/>
                <w:lang w:val="en-US"/>
              </w:rPr>
              <w:t xml:space="preserve"> (Karlsruher </w:t>
            </w:r>
            <w:proofErr w:type="spellStart"/>
            <w:r w:rsidRPr="00871E74">
              <w:rPr>
                <w:sz w:val="17"/>
                <w:lang w:val="en-US"/>
              </w:rPr>
              <w:t>Institüt</w:t>
            </w:r>
            <w:proofErr w:type="spellEnd"/>
            <w:r w:rsidRPr="00871E74">
              <w:rPr>
                <w:sz w:val="17"/>
                <w:lang w:val="en-US"/>
              </w:rPr>
              <w:t xml:space="preserve"> für Technologie) — </w:t>
            </w:r>
            <w:r w:rsidRPr="00871E74">
              <w:rPr>
                <w:i/>
                <w:sz w:val="17"/>
                <w:lang w:val="en-US"/>
              </w:rPr>
              <w:t>Can Democracy Be Delegated? Digital Twins and the Value of Public Deliberation</w:t>
            </w:r>
          </w:p>
          <w:p w14:paraId="6158903A" w14:textId="77777777" w:rsidR="00DC7D2B" w:rsidRPr="00871E74" w:rsidRDefault="00DC7D2B">
            <w:pPr>
              <w:rPr>
                <w:lang w:val="en-US"/>
              </w:rPr>
            </w:pPr>
            <w:r w:rsidRPr="00871E74">
              <w:rPr>
                <w:sz w:val="17"/>
                <w:lang w:val="en-US"/>
              </w:rPr>
              <w:t xml:space="preserve">Adrien </w:t>
            </w:r>
            <w:proofErr w:type="spellStart"/>
            <w:r w:rsidRPr="00871E74">
              <w:rPr>
                <w:sz w:val="17"/>
                <w:lang w:val="en-US"/>
              </w:rPr>
              <w:t>Tallent</w:t>
            </w:r>
            <w:proofErr w:type="spellEnd"/>
            <w:r w:rsidRPr="00871E74">
              <w:rPr>
                <w:sz w:val="17"/>
                <w:lang w:val="en-US"/>
              </w:rPr>
              <w:t xml:space="preserve"> (Sorbonne University) — </w:t>
            </w:r>
            <w:r w:rsidRPr="00871E74">
              <w:rPr>
                <w:i/>
                <w:sz w:val="17"/>
                <w:lang w:val="en-US"/>
              </w:rPr>
              <w:t>AI, deliberative democracy, and the institutional conditions of large digital participation</w:t>
            </w:r>
          </w:p>
        </w:tc>
        <w:tc>
          <w:tcPr>
            <w:tcW w:w="425" w:type="dxa"/>
            <w:vMerge w:val="restart"/>
            <w:tcBorders>
              <w:top w:val="single" w:sz="4" w:space="0" w:color="auto"/>
              <w:bottom w:val="single" w:sz="4" w:space="0" w:color="auto"/>
              <w:right w:val="nil"/>
            </w:tcBorders>
            <w:textDirection w:val="tbRl"/>
          </w:tcPr>
          <w:p w14:paraId="1DA1FEA7" w14:textId="0764D594" w:rsidR="00DC7D2B" w:rsidRPr="00C6611F" w:rsidRDefault="00DC7D2B" w:rsidP="00871E74">
            <w:pPr>
              <w:ind w:left="113" w:right="113"/>
              <w:rPr>
                <w:color w:val="C00000"/>
                <w:lang w:val="en-BE"/>
              </w:rPr>
            </w:pPr>
            <w:r w:rsidRPr="004B0BA5">
              <w:rPr>
                <w:color w:val="C00000"/>
                <w:sz w:val="16"/>
                <w:lang w:val="en-US"/>
              </w:rPr>
              <w:t>@Mandeville (T building), room 3-0</w:t>
            </w:r>
            <w:r w:rsidR="00471E25">
              <w:rPr>
                <w:color w:val="C00000"/>
                <w:sz w:val="16"/>
                <w:lang w:val="en-US"/>
              </w:rPr>
              <w:t>2</w:t>
            </w:r>
          </w:p>
        </w:tc>
      </w:tr>
      <w:tr w:rsidR="00DC7D2B" w14:paraId="02E244F5" w14:textId="77777777" w:rsidTr="00DC7D2B">
        <w:trPr>
          <w:jc w:val="center"/>
        </w:trPr>
        <w:tc>
          <w:tcPr>
            <w:tcW w:w="816" w:type="dxa"/>
            <w:tcBorders>
              <w:top w:val="single" w:sz="2" w:space="0" w:color="D9D9D9"/>
              <w:left w:val="none" w:sz="0" w:space="0" w:color="FFFFFF"/>
              <w:bottom w:val="single" w:sz="2" w:space="0" w:color="D9D9D9"/>
              <w:right w:val="none" w:sz="0" w:space="0" w:color="FFFFFF"/>
            </w:tcBorders>
            <w:shd w:val="clear" w:color="auto" w:fill="F2F2F2"/>
            <w:tcMar>
              <w:top w:w="100" w:type="dxa"/>
              <w:left w:w="120" w:type="dxa"/>
              <w:bottom w:w="100" w:type="dxa"/>
              <w:right w:w="80" w:type="dxa"/>
            </w:tcMar>
          </w:tcPr>
          <w:p w14:paraId="7291C0A9" w14:textId="77777777" w:rsidR="00DC7D2B" w:rsidRDefault="00DC7D2B">
            <w:r>
              <w:rPr>
                <w:b/>
                <w:sz w:val="17"/>
              </w:rPr>
              <w:t>11h00</w:t>
            </w:r>
          </w:p>
        </w:tc>
        <w:tc>
          <w:tcPr>
            <w:tcW w:w="8965" w:type="dxa"/>
            <w:tcBorders>
              <w:top w:val="single" w:sz="2" w:space="0" w:color="D9D9D9"/>
              <w:left w:val="single" w:sz="2" w:space="0" w:color="7A4FA0"/>
              <w:bottom w:val="single" w:sz="2" w:space="0" w:color="D9D9D9"/>
              <w:right w:val="none" w:sz="0" w:space="0" w:color="FFFFFF"/>
            </w:tcBorders>
            <w:shd w:val="clear" w:color="auto" w:fill="F2F2F2"/>
            <w:tcMar>
              <w:top w:w="100" w:type="dxa"/>
              <w:left w:w="140" w:type="dxa"/>
              <w:bottom w:w="100" w:type="dxa"/>
              <w:right w:w="120" w:type="dxa"/>
            </w:tcMar>
          </w:tcPr>
          <w:p w14:paraId="5C98FADE" w14:textId="77777777" w:rsidR="00DC7D2B" w:rsidRPr="00CA5AB4" w:rsidRDefault="00DC7D2B">
            <w:pPr>
              <w:rPr>
                <w:bCs/>
              </w:rPr>
            </w:pPr>
            <w:r w:rsidRPr="00CA5AB4">
              <w:rPr>
                <w:bCs/>
                <w:sz w:val="17"/>
              </w:rPr>
              <w:t>Coffee break</w:t>
            </w:r>
          </w:p>
        </w:tc>
        <w:tc>
          <w:tcPr>
            <w:tcW w:w="425" w:type="dxa"/>
            <w:vMerge/>
            <w:tcBorders>
              <w:top w:val="single" w:sz="4" w:space="0" w:color="auto"/>
              <w:bottom w:val="single" w:sz="4" w:space="0" w:color="auto"/>
              <w:right w:val="nil"/>
            </w:tcBorders>
          </w:tcPr>
          <w:p w14:paraId="73DD1101" w14:textId="7EE331B2" w:rsidR="00DC7D2B" w:rsidRDefault="00DC7D2B"/>
        </w:tc>
      </w:tr>
      <w:tr w:rsidR="00DC7D2B" w:rsidRPr="00C14936" w14:paraId="745BD3EB" w14:textId="77777777" w:rsidTr="00DC7D2B">
        <w:trPr>
          <w:jc w:val="center"/>
        </w:trPr>
        <w:tc>
          <w:tcPr>
            <w:tcW w:w="816" w:type="dxa"/>
            <w:tcBorders>
              <w:top w:val="single" w:sz="2" w:space="0" w:color="D9D9D9"/>
              <w:left w:val="none" w:sz="0" w:space="0" w:color="FFFFFF"/>
              <w:bottom w:val="single" w:sz="2" w:space="0" w:color="D9D9D9"/>
              <w:right w:val="none" w:sz="0" w:space="0" w:color="FFFFFF"/>
            </w:tcBorders>
            <w:shd w:val="clear" w:color="auto" w:fill="EBE5F1"/>
            <w:tcMar>
              <w:top w:w="100" w:type="dxa"/>
              <w:left w:w="120" w:type="dxa"/>
              <w:bottom w:w="100" w:type="dxa"/>
              <w:right w:w="80" w:type="dxa"/>
            </w:tcMar>
          </w:tcPr>
          <w:p w14:paraId="3D7C2C91" w14:textId="77777777" w:rsidR="00DC7D2B" w:rsidRDefault="00DC7D2B">
            <w:r>
              <w:rPr>
                <w:b/>
                <w:sz w:val="17"/>
              </w:rPr>
              <w:t>11h15</w:t>
            </w:r>
          </w:p>
        </w:tc>
        <w:tc>
          <w:tcPr>
            <w:tcW w:w="8965" w:type="dxa"/>
            <w:tcBorders>
              <w:top w:val="single" w:sz="2" w:space="0" w:color="D9D9D9"/>
              <w:left w:val="single" w:sz="2" w:space="0" w:color="7A4FA0"/>
              <w:bottom w:val="single" w:sz="2" w:space="0" w:color="D9D9D9"/>
              <w:right w:val="none" w:sz="0" w:space="0" w:color="FFFFFF"/>
            </w:tcBorders>
            <w:shd w:val="clear" w:color="auto" w:fill="EBE5F1"/>
            <w:tcMar>
              <w:top w:w="100" w:type="dxa"/>
              <w:left w:w="140" w:type="dxa"/>
              <w:bottom w:w="100" w:type="dxa"/>
              <w:right w:w="120" w:type="dxa"/>
            </w:tcMar>
          </w:tcPr>
          <w:p w14:paraId="5FC68E0B" w14:textId="77777777" w:rsidR="00DC7D2B" w:rsidRPr="00871E74" w:rsidRDefault="00DC7D2B">
            <w:pPr>
              <w:rPr>
                <w:lang w:val="en-US"/>
              </w:rPr>
            </w:pPr>
            <w:r w:rsidRPr="00871E74">
              <w:rPr>
                <w:b/>
                <w:sz w:val="17"/>
                <w:lang w:val="en-US"/>
              </w:rPr>
              <w:t>Keynote: Cristina Lafont (Northwestern University)</w:t>
            </w:r>
          </w:p>
          <w:p w14:paraId="5F4424E5" w14:textId="77777777" w:rsidR="00DC7D2B" w:rsidRPr="00871E74" w:rsidRDefault="00DC7D2B">
            <w:pPr>
              <w:rPr>
                <w:lang w:val="en-US"/>
              </w:rPr>
            </w:pPr>
            <w:r w:rsidRPr="00871E74">
              <w:rPr>
                <w:i/>
                <w:sz w:val="17"/>
                <w:lang w:val="en-US"/>
              </w:rPr>
              <w:t>Democratic Deliberation without Shortcuts: Should AI Empower or Replace Citizens?</w:t>
            </w:r>
          </w:p>
        </w:tc>
        <w:tc>
          <w:tcPr>
            <w:tcW w:w="425" w:type="dxa"/>
            <w:vMerge/>
            <w:tcBorders>
              <w:top w:val="single" w:sz="4" w:space="0" w:color="auto"/>
              <w:bottom w:val="single" w:sz="4" w:space="0" w:color="auto"/>
              <w:right w:val="nil"/>
            </w:tcBorders>
          </w:tcPr>
          <w:p w14:paraId="54484A6B" w14:textId="01CBB4C9" w:rsidR="00DC7D2B" w:rsidRPr="004B0BA5" w:rsidRDefault="00DC7D2B">
            <w:pPr>
              <w:rPr>
                <w:lang w:val="en-US"/>
              </w:rPr>
            </w:pPr>
          </w:p>
        </w:tc>
      </w:tr>
      <w:tr w:rsidR="00DC7D2B" w14:paraId="3CF66A16" w14:textId="77777777" w:rsidTr="00DC7D2B">
        <w:trPr>
          <w:trHeight w:val="738"/>
          <w:jc w:val="center"/>
        </w:trPr>
        <w:tc>
          <w:tcPr>
            <w:tcW w:w="816" w:type="dxa"/>
            <w:tcBorders>
              <w:top w:val="single" w:sz="2" w:space="0" w:color="D9D9D9"/>
              <w:left w:val="none" w:sz="0" w:space="0" w:color="FFFFFF"/>
              <w:bottom w:val="single" w:sz="2" w:space="0" w:color="D9D9D9"/>
              <w:right w:val="none" w:sz="0" w:space="0" w:color="FFFFFF"/>
            </w:tcBorders>
            <w:shd w:val="clear" w:color="auto" w:fill="FFFFFF"/>
            <w:tcMar>
              <w:top w:w="100" w:type="dxa"/>
              <w:left w:w="120" w:type="dxa"/>
              <w:bottom w:w="100" w:type="dxa"/>
              <w:right w:w="80" w:type="dxa"/>
            </w:tcMar>
          </w:tcPr>
          <w:p w14:paraId="01DDD18A" w14:textId="77777777" w:rsidR="00DC7D2B" w:rsidRDefault="00DC7D2B">
            <w:r>
              <w:rPr>
                <w:b/>
                <w:sz w:val="17"/>
              </w:rPr>
              <w:t>12h15</w:t>
            </w:r>
          </w:p>
        </w:tc>
        <w:tc>
          <w:tcPr>
            <w:tcW w:w="8965" w:type="dxa"/>
            <w:tcBorders>
              <w:top w:val="single" w:sz="2" w:space="0" w:color="D9D9D9"/>
              <w:left w:val="single" w:sz="2" w:space="0" w:color="7A4FA0"/>
              <w:bottom w:val="single" w:sz="2" w:space="0" w:color="D9D9D9"/>
              <w:right w:val="none" w:sz="0" w:space="0" w:color="FFFFFF"/>
            </w:tcBorders>
            <w:shd w:val="clear" w:color="auto" w:fill="FFFFFF"/>
            <w:tcMar>
              <w:top w:w="100" w:type="dxa"/>
              <w:left w:w="140" w:type="dxa"/>
              <w:bottom w:w="100" w:type="dxa"/>
              <w:right w:w="120" w:type="dxa"/>
            </w:tcMar>
          </w:tcPr>
          <w:p w14:paraId="308AB186" w14:textId="52AFC148" w:rsidR="00DC7D2B" w:rsidRDefault="00DC7D2B">
            <w:pPr>
              <w:rPr>
                <w:bCs/>
                <w:sz w:val="17"/>
              </w:rPr>
            </w:pPr>
            <w:proofErr w:type="spellStart"/>
            <w:r w:rsidRPr="00CA5AB4">
              <w:rPr>
                <w:bCs/>
                <w:sz w:val="17"/>
              </w:rPr>
              <w:t>Closing</w:t>
            </w:r>
            <w:proofErr w:type="spellEnd"/>
            <w:r w:rsidRPr="00CA5AB4">
              <w:rPr>
                <w:bCs/>
                <w:sz w:val="17"/>
              </w:rPr>
              <w:t xml:space="preserve"> </w:t>
            </w:r>
            <w:proofErr w:type="spellStart"/>
            <w:r>
              <w:rPr>
                <w:bCs/>
                <w:sz w:val="17"/>
              </w:rPr>
              <w:t>Deliberations</w:t>
            </w:r>
            <w:proofErr w:type="spellEnd"/>
            <w:r>
              <w:rPr>
                <w:bCs/>
                <w:sz w:val="17"/>
              </w:rPr>
              <w:t xml:space="preserve"> over Lunch</w:t>
            </w:r>
          </w:p>
          <w:p w14:paraId="35BC55A7" w14:textId="77777777" w:rsidR="00DC7D2B" w:rsidRPr="00CA5AB4" w:rsidRDefault="00DC7D2B">
            <w:pPr>
              <w:rPr>
                <w:bCs/>
              </w:rPr>
            </w:pPr>
          </w:p>
        </w:tc>
        <w:tc>
          <w:tcPr>
            <w:tcW w:w="425" w:type="dxa"/>
            <w:vMerge/>
            <w:tcBorders>
              <w:top w:val="single" w:sz="4" w:space="0" w:color="auto"/>
              <w:bottom w:val="single" w:sz="4" w:space="0" w:color="auto"/>
              <w:right w:val="nil"/>
            </w:tcBorders>
          </w:tcPr>
          <w:p w14:paraId="152EBC31" w14:textId="6CF68016" w:rsidR="00DC7D2B" w:rsidRDefault="00DC7D2B"/>
        </w:tc>
      </w:tr>
      <w:tr w:rsidR="00DC7D2B" w:rsidRPr="00C14936" w14:paraId="36A24A48" w14:textId="77777777" w:rsidTr="00DC7D2B">
        <w:trPr>
          <w:jc w:val="center"/>
        </w:trPr>
        <w:tc>
          <w:tcPr>
            <w:tcW w:w="816" w:type="dxa"/>
            <w:tcBorders>
              <w:top w:val="single" w:sz="2" w:space="0" w:color="D9D9D9"/>
              <w:left w:val="nil"/>
              <w:bottom w:val="single" w:sz="4" w:space="0" w:color="auto"/>
              <w:right w:val="none" w:sz="0" w:space="0" w:color="FFFFFF"/>
            </w:tcBorders>
            <w:shd w:val="clear" w:color="auto" w:fill="FFFFFF"/>
            <w:tcMar>
              <w:top w:w="100" w:type="dxa"/>
              <w:left w:w="120" w:type="dxa"/>
              <w:bottom w:w="100" w:type="dxa"/>
              <w:right w:w="80" w:type="dxa"/>
            </w:tcMar>
          </w:tcPr>
          <w:p w14:paraId="54509001" w14:textId="77777777" w:rsidR="00DC7D2B" w:rsidRDefault="00DC7D2B">
            <w:r>
              <w:rPr>
                <w:b/>
                <w:sz w:val="17"/>
              </w:rPr>
              <w:t>14h00</w:t>
            </w:r>
          </w:p>
        </w:tc>
        <w:tc>
          <w:tcPr>
            <w:tcW w:w="8965" w:type="dxa"/>
            <w:tcBorders>
              <w:top w:val="single" w:sz="2" w:space="0" w:color="D9D9D9"/>
              <w:left w:val="single" w:sz="2" w:space="0" w:color="7A4FA0"/>
              <w:bottom w:val="single" w:sz="4" w:space="0" w:color="auto"/>
              <w:right w:val="none" w:sz="0" w:space="0" w:color="FFFFFF"/>
            </w:tcBorders>
            <w:shd w:val="clear" w:color="auto" w:fill="FFFFFF"/>
            <w:tcMar>
              <w:top w:w="100" w:type="dxa"/>
              <w:left w:w="140" w:type="dxa"/>
              <w:bottom w:w="100" w:type="dxa"/>
              <w:right w:w="120" w:type="dxa"/>
            </w:tcMar>
          </w:tcPr>
          <w:p w14:paraId="575CABD1" w14:textId="3C58C654" w:rsidR="00DC7D2B" w:rsidRPr="008A73CF" w:rsidRDefault="00DC7D2B">
            <w:pPr>
              <w:rPr>
                <w:b/>
                <w:sz w:val="17"/>
                <w:lang w:val="en-US"/>
              </w:rPr>
            </w:pPr>
            <w:r w:rsidRPr="008A73CF">
              <w:rPr>
                <w:b/>
                <w:sz w:val="17"/>
                <w:lang w:val="en-US"/>
              </w:rPr>
              <w:t xml:space="preserve">Workshop on </w:t>
            </w:r>
            <w:r w:rsidRPr="0025187C">
              <w:rPr>
                <w:b/>
                <w:i/>
                <w:iCs/>
                <w:sz w:val="17"/>
                <w:lang w:val="en-US"/>
              </w:rPr>
              <w:t xml:space="preserve">Climate Litigation &amp; </w:t>
            </w:r>
            <w:r w:rsidR="0025187C" w:rsidRPr="0025187C">
              <w:rPr>
                <w:b/>
                <w:i/>
                <w:iCs/>
                <w:sz w:val="17"/>
                <w:lang w:val="en-US"/>
              </w:rPr>
              <w:t>D</w:t>
            </w:r>
            <w:r w:rsidR="0025187C">
              <w:rPr>
                <w:b/>
                <w:i/>
                <w:iCs/>
                <w:sz w:val="17"/>
                <w:lang w:val="en-US"/>
              </w:rPr>
              <w:t>e</w:t>
            </w:r>
            <w:r w:rsidR="0025187C" w:rsidRPr="0025187C">
              <w:rPr>
                <w:b/>
                <w:i/>
                <w:iCs/>
                <w:sz w:val="17"/>
                <w:lang w:val="en-US"/>
              </w:rPr>
              <w:t>mocracy</w:t>
            </w:r>
            <w:r w:rsidRPr="008A73CF">
              <w:rPr>
                <w:b/>
                <w:sz w:val="17"/>
                <w:lang w:val="en-US"/>
              </w:rPr>
              <w:t xml:space="preserve"> with Cristina Lafont (organizers: Laura Garcia-Portela &amp; Paula Andrea Nieto Hernandez)</w:t>
            </w:r>
          </w:p>
          <w:p w14:paraId="31B1512D" w14:textId="66127887" w:rsidR="00DC7D2B" w:rsidRPr="00DC7D2B" w:rsidRDefault="00DC7D2B">
            <w:pPr>
              <w:rPr>
                <w:lang w:val="en-US"/>
              </w:rPr>
            </w:pPr>
            <w:r>
              <w:rPr>
                <w:lang w:val="en-US"/>
              </w:rPr>
              <w:t xml:space="preserve">In case you would like to join this workshop, please write to </w:t>
            </w:r>
            <w:hyperlink r:id="rId7" w:history="1">
              <w:r w:rsidRPr="005966FE">
                <w:rPr>
                  <w:rStyle w:val="Hyperlink"/>
                  <w:lang w:val="en-US"/>
                </w:rPr>
                <w:t>nietohernandez@esphil.eur.nl</w:t>
              </w:r>
            </w:hyperlink>
            <w:r>
              <w:rPr>
                <w:lang w:val="en-US"/>
              </w:rPr>
              <w:t xml:space="preserve"> </w:t>
            </w:r>
          </w:p>
        </w:tc>
        <w:tc>
          <w:tcPr>
            <w:tcW w:w="425" w:type="dxa"/>
            <w:vMerge/>
            <w:tcBorders>
              <w:top w:val="single" w:sz="4" w:space="0" w:color="auto"/>
              <w:bottom w:val="single" w:sz="4" w:space="0" w:color="auto"/>
              <w:right w:val="nil"/>
            </w:tcBorders>
          </w:tcPr>
          <w:p w14:paraId="7A840AE1" w14:textId="318F05B0" w:rsidR="00DC7D2B" w:rsidRPr="00DC7D2B" w:rsidRDefault="00DC7D2B">
            <w:pPr>
              <w:rPr>
                <w:lang w:val="en-US"/>
              </w:rPr>
            </w:pPr>
          </w:p>
        </w:tc>
      </w:tr>
    </w:tbl>
    <w:p w14:paraId="0B087F41" w14:textId="77777777" w:rsidR="004B2D40" w:rsidRPr="00DC7D2B" w:rsidRDefault="00000000">
      <w:pPr>
        <w:rPr>
          <w:lang w:val="en-US"/>
        </w:rPr>
      </w:pPr>
      <w:r w:rsidRPr="00DC7D2B">
        <w:rPr>
          <w:lang w:val="en-US"/>
        </w:rPr>
        <w:br w:type="page"/>
      </w:r>
    </w:p>
    <w:p w14:paraId="6006A4F2" w14:textId="77777777" w:rsidR="004B2D40" w:rsidRPr="008A73CF" w:rsidRDefault="00000000" w:rsidP="00DF14E0">
      <w:pPr>
        <w:pStyle w:val="Heading1"/>
        <w:spacing w:before="100" w:after="200" w:line="360" w:lineRule="auto"/>
        <w:jc w:val="both"/>
        <w:rPr>
          <w:rFonts w:cs="Arial"/>
          <w:lang w:val="en-US"/>
        </w:rPr>
      </w:pPr>
      <w:r w:rsidRPr="008A73CF">
        <w:rPr>
          <w:rFonts w:cs="Arial"/>
          <w:bCs/>
          <w:color w:val="26333D"/>
          <w:sz w:val="30"/>
          <w:szCs w:val="30"/>
          <w:lang w:val="en-US"/>
        </w:rPr>
        <w:lastRenderedPageBreak/>
        <w:t>Abstracts</w:t>
      </w:r>
    </w:p>
    <w:p w14:paraId="79F2CAED" w14:textId="6400EF73" w:rsidR="005A2244" w:rsidRPr="00CA5AB4" w:rsidRDefault="00000000" w:rsidP="00DF14E0">
      <w:pPr>
        <w:keepNext/>
        <w:spacing w:after="80" w:line="360" w:lineRule="auto"/>
        <w:jc w:val="both"/>
        <w:rPr>
          <w:rFonts w:cs="Arial"/>
          <w:lang w:val="en-US"/>
        </w:rPr>
      </w:pPr>
      <w:r w:rsidRPr="00CA5AB4">
        <w:rPr>
          <w:rFonts w:cs="Arial"/>
          <w:b/>
          <w:sz w:val="24"/>
          <w:lang w:val="en-US"/>
        </w:rPr>
        <w:t>Keynotes</w:t>
      </w:r>
      <w:r w:rsidR="00CA5AB4" w:rsidRPr="00CA5AB4">
        <w:rPr>
          <w:rFonts w:cs="Arial"/>
          <w:b/>
          <w:sz w:val="24"/>
          <w:lang w:val="en-US"/>
        </w:rPr>
        <w:t xml:space="preserve"> (in order of a</w:t>
      </w:r>
      <w:r w:rsidR="00CA5AB4">
        <w:rPr>
          <w:rFonts w:cs="Arial"/>
          <w:b/>
          <w:sz w:val="24"/>
          <w:lang w:val="en-US"/>
        </w:rPr>
        <w:t>ppearance)</w:t>
      </w:r>
    </w:p>
    <w:p w14:paraId="725FDF54" w14:textId="77777777" w:rsidR="005A2244" w:rsidRPr="004B0BA5" w:rsidRDefault="00000000" w:rsidP="00DF14E0">
      <w:pPr>
        <w:keepNext/>
        <w:spacing w:after="20" w:line="360" w:lineRule="auto"/>
        <w:jc w:val="both"/>
        <w:rPr>
          <w:rFonts w:cs="Arial"/>
          <w:lang w:val="en-US"/>
        </w:rPr>
      </w:pPr>
      <w:r w:rsidRPr="004B0BA5">
        <w:rPr>
          <w:rFonts w:cs="Arial"/>
          <w:b/>
          <w:lang w:val="en-US"/>
        </w:rPr>
        <w:t xml:space="preserve">Hein </w:t>
      </w:r>
      <w:proofErr w:type="spellStart"/>
      <w:r w:rsidRPr="004B0BA5">
        <w:rPr>
          <w:rFonts w:cs="Arial"/>
          <w:b/>
          <w:lang w:val="en-US"/>
        </w:rPr>
        <w:t>Duijf</w:t>
      </w:r>
      <w:proofErr w:type="spellEnd"/>
      <w:r w:rsidRPr="004B0BA5">
        <w:rPr>
          <w:rFonts w:cs="Arial"/>
          <w:b/>
          <w:lang w:val="en-US"/>
        </w:rPr>
        <w:t xml:space="preserve"> (Universiteit Utrecht)</w:t>
      </w:r>
    </w:p>
    <w:p w14:paraId="630795AC" w14:textId="77777777" w:rsidR="005A2244" w:rsidRPr="00871E74" w:rsidRDefault="00000000" w:rsidP="00DF14E0">
      <w:pPr>
        <w:keepNext/>
        <w:spacing w:after="40" w:line="360" w:lineRule="auto"/>
        <w:jc w:val="both"/>
        <w:rPr>
          <w:rFonts w:cs="Arial"/>
          <w:lang w:val="en-US"/>
        </w:rPr>
      </w:pPr>
      <w:r w:rsidRPr="00871E74">
        <w:rPr>
          <w:rFonts w:cs="Arial"/>
          <w:i/>
          <w:lang w:val="en-US"/>
        </w:rPr>
        <w:t xml:space="preserve">Epistemic democracy versus </w:t>
      </w:r>
      <w:proofErr w:type="spellStart"/>
      <w:r w:rsidRPr="00871E74">
        <w:rPr>
          <w:rFonts w:cs="Arial"/>
          <w:i/>
          <w:lang w:val="en-US"/>
        </w:rPr>
        <w:t>epistocracy</w:t>
      </w:r>
      <w:proofErr w:type="spellEnd"/>
      <w:r w:rsidRPr="00871E74">
        <w:rPr>
          <w:rFonts w:cs="Arial"/>
          <w:i/>
          <w:lang w:val="en-US"/>
        </w:rPr>
        <w:t>: A simulation study</w:t>
      </w:r>
    </w:p>
    <w:p w14:paraId="3505C093" w14:textId="77777777" w:rsidR="005A2244" w:rsidRPr="00871E74" w:rsidRDefault="00000000" w:rsidP="00DF14E0">
      <w:pPr>
        <w:spacing w:after="40" w:line="360" w:lineRule="auto"/>
        <w:jc w:val="both"/>
        <w:rPr>
          <w:rFonts w:cs="Arial"/>
          <w:lang w:val="en-US"/>
        </w:rPr>
      </w:pPr>
      <w:r w:rsidRPr="00871E74">
        <w:rPr>
          <w:rFonts w:cs="Arial"/>
          <w:sz w:val="18"/>
          <w:lang w:val="en-US"/>
        </w:rPr>
        <w:t>Epistemic democrats commonly argue that democratic procedures—in particular, voting procedures with universal suffrage and deliberative procedures with diverse groups—outperform expert rule because of inclusive participation and the aggregation or exchange of diverse perspectives (</w:t>
      </w:r>
      <w:proofErr w:type="spellStart"/>
      <w:r w:rsidRPr="00871E74">
        <w:rPr>
          <w:rFonts w:cs="Arial"/>
          <w:sz w:val="18"/>
          <w:lang w:val="en-US"/>
        </w:rPr>
        <w:t>Landemore</w:t>
      </w:r>
      <w:proofErr w:type="spellEnd"/>
      <w:r w:rsidRPr="00871E74">
        <w:rPr>
          <w:rFonts w:cs="Arial"/>
          <w:sz w:val="18"/>
          <w:lang w:val="en-US"/>
        </w:rPr>
        <w:t xml:space="preserve"> 2013; Goodin and </w:t>
      </w:r>
      <w:proofErr w:type="spellStart"/>
      <w:r w:rsidRPr="00871E74">
        <w:rPr>
          <w:rFonts w:cs="Arial"/>
          <w:sz w:val="18"/>
          <w:lang w:val="en-US"/>
        </w:rPr>
        <w:t>Spiekermann</w:t>
      </w:r>
      <w:proofErr w:type="spellEnd"/>
      <w:r w:rsidRPr="00871E74">
        <w:rPr>
          <w:rFonts w:cs="Arial"/>
          <w:sz w:val="18"/>
          <w:lang w:val="en-US"/>
        </w:rPr>
        <w:t xml:space="preserve"> 2018). In contrast, </w:t>
      </w:r>
      <w:proofErr w:type="spellStart"/>
      <w:r w:rsidRPr="00871E74">
        <w:rPr>
          <w:rFonts w:cs="Arial"/>
          <w:sz w:val="18"/>
          <w:lang w:val="en-US"/>
        </w:rPr>
        <w:t>epistocrats</w:t>
      </w:r>
      <w:proofErr w:type="spellEnd"/>
      <w:r w:rsidRPr="00871E74">
        <w:rPr>
          <w:rFonts w:cs="Arial"/>
          <w:sz w:val="18"/>
          <w:lang w:val="en-US"/>
        </w:rPr>
        <w:t xml:space="preserve"> argue that political decisions should be made by the knowledgeable few, claiming that expertise leads to superior outcomes (Brennan 2016), especially in light of citizens’ staggering lack of political knowledge (Somin 2013). To evaluate this epistemic tradeoff, this paper uses agent-based modeling to systematically compare institutional arrangements along two dimensions: the type of procedure (deliberation vs. aggregation) and the enfranchisement restrictions, if any (expert only, competence restriction, or inclusive).</w:t>
      </w:r>
    </w:p>
    <w:p w14:paraId="38B9A01E" w14:textId="77777777" w:rsidR="005A2244" w:rsidRPr="00871E74" w:rsidRDefault="00000000" w:rsidP="00DF14E0">
      <w:pPr>
        <w:spacing w:after="40" w:line="360" w:lineRule="auto"/>
        <w:jc w:val="both"/>
        <w:rPr>
          <w:rFonts w:cs="Arial"/>
          <w:lang w:val="en-US"/>
        </w:rPr>
      </w:pPr>
      <w:r w:rsidRPr="00871E74">
        <w:rPr>
          <w:rFonts w:cs="Arial"/>
          <w:sz w:val="18"/>
          <w:lang w:val="en-US"/>
        </w:rPr>
        <w:t xml:space="preserve">Existing epistemic defenses of democracy draw on the miracle of aggregation, the Hong–Page “diversity trumps ability” framework and Jury Theorems (Hong and Page 2004; Page 2007; Condorcet 1785; Dietrich and </w:t>
      </w:r>
      <w:proofErr w:type="spellStart"/>
      <w:r w:rsidRPr="00871E74">
        <w:rPr>
          <w:rFonts w:cs="Arial"/>
          <w:sz w:val="18"/>
          <w:lang w:val="en-US"/>
        </w:rPr>
        <w:t>Spiekermann</w:t>
      </w:r>
      <w:proofErr w:type="spellEnd"/>
      <w:r w:rsidRPr="00871E74">
        <w:rPr>
          <w:rFonts w:cs="Arial"/>
          <w:sz w:val="18"/>
          <w:lang w:val="en-US"/>
        </w:rPr>
        <w:t xml:space="preserve"> 2023). Yet both have limitations: Hong and Page’s model assumes highly complex search spaces absent in political decisions, while the miracle of aggregation and Jury Theorems often ignore dependencies among voters and rarely examine small deliberative bodies. To address these gaps, I introduce an evidential sources model in which agents form judgments by drawing on evidences—opinions, arguments, observations, or personal experiences—which may be reliable or misleading (inspired by (Dietrich and </w:t>
      </w:r>
      <w:proofErr w:type="spellStart"/>
      <w:r w:rsidRPr="00871E74">
        <w:rPr>
          <w:rFonts w:cs="Arial"/>
          <w:sz w:val="18"/>
          <w:lang w:val="en-US"/>
        </w:rPr>
        <w:t>Spiekermann</w:t>
      </w:r>
      <w:proofErr w:type="spellEnd"/>
      <w:r w:rsidRPr="00871E74">
        <w:rPr>
          <w:rFonts w:cs="Arial"/>
          <w:sz w:val="18"/>
          <w:lang w:val="en-US"/>
        </w:rPr>
        <w:t xml:space="preserve"> 2025)). An agent’s competence or ability depends on the reliability of their sources, while a group’s diversity reflects the degree of overlap among members’ source sets. This allows the model to capture heterogeneous competences, correlated judgments, and realistic informational environments.</w:t>
      </w:r>
    </w:p>
    <w:p w14:paraId="44407B23" w14:textId="77777777" w:rsidR="005A2244" w:rsidRPr="00871E74" w:rsidRDefault="00000000" w:rsidP="00DF14E0">
      <w:pPr>
        <w:spacing w:after="40" w:line="360" w:lineRule="auto"/>
        <w:jc w:val="both"/>
        <w:rPr>
          <w:rFonts w:cs="Arial"/>
          <w:lang w:val="en-US"/>
        </w:rPr>
      </w:pPr>
      <w:r w:rsidRPr="00871E74">
        <w:rPr>
          <w:rFonts w:cs="Arial"/>
          <w:sz w:val="18"/>
          <w:lang w:val="en-US"/>
        </w:rPr>
        <w:t xml:space="preserve">Using this framework, I analyze six institutional configurations representing different positions along the aforementioned two dimensions. Without going into a detailed comparison here, I consider two types of </w:t>
      </w:r>
      <w:proofErr w:type="spellStart"/>
      <w:r w:rsidRPr="00871E74">
        <w:rPr>
          <w:rFonts w:cs="Arial"/>
          <w:sz w:val="18"/>
          <w:lang w:val="en-US"/>
        </w:rPr>
        <w:t>epistocratic</w:t>
      </w:r>
      <w:proofErr w:type="spellEnd"/>
      <w:r w:rsidRPr="00871E74">
        <w:rPr>
          <w:rFonts w:cs="Arial"/>
          <w:sz w:val="18"/>
          <w:lang w:val="en-US"/>
        </w:rPr>
        <w:t xml:space="preserve"> enfranchisement restrictions: permissive variants include all but a small portion of worst-performing individuals, while expert variants exclude all but only a small portion of best-performing individuals. In contrast, democratic institutions emphasize inclusivity. Deliberative democracy is modeled as small, diverse groups selected to maximize evidential variety. Aggregative democracy is modeled as large voting crowds where all citizens vote without deliberation, but with possibly correlated evidential sources; this corresponds to majority rule under universal suffrage.</w:t>
      </w:r>
    </w:p>
    <w:p w14:paraId="78C0B831" w14:textId="77777777" w:rsidR="005A2244" w:rsidRPr="00871E74" w:rsidRDefault="00000000" w:rsidP="00DF14E0">
      <w:pPr>
        <w:spacing w:after="40" w:line="360" w:lineRule="auto"/>
        <w:jc w:val="both"/>
        <w:rPr>
          <w:rFonts w:cs="Arial"/>
          <w:lang w:val="en-US"/>
        </w:rPr>
      </w:pPr>
      <w:r w:rsidRPr="00871E74">
        <w:rPr>
          <w:rFonts w:cs="Arial"/>
          <w:sz w:val="18"/>
          <w:lang w:val="en-US"/>
        </w:rPr>
        <w:t>This study contributes to political epistemology by providing a systematic, computational investigation of the democracy-</w:t>
      </w:r>
      <w:proofErr w:type="spellStart"/>
      <w:r w:rsidRPr="00871E74">
        <w:rPr>
          <w:rFonts w:cs="Arial"/>
          <w:sz w:val="18"/>
          <w:lang w:val="en-US"/>
        </w:rPr>
        <w:t>epistocracy</w:t>
      </w:r>
      <w:proofErr w:type="spellEnd"/>
      <w:r w:rsidRPr="00871E74">
        <w:rPr>
          <w:rFonts w:cs="Arial"/>
          <w:sz w:val="18"/>
          <w:lang w:val="en-US"/>
        </w:rPr>
        <w:t xml:space="preserve"> tradeoff, if it exists. While landscape models have been used to study the diversity-expertise tradeoff in deliberation and jury theorems have been used to study the wisdom of the crowds in aggregation, the democracy-</w:t>
      </w:r>
      <w:proofErr w:type="spellStart"/>
      <w:r w:rsidRPr="00871E74">
        <w:rPr>
          <w:rFonts w:cs="Arial"/>
          <w:sz w:val="18"/>
          <w:lang w:val="en-US"/>
        </w:rPr>
        <w:t>epistocracy</w:t>
      </w:r>
      <w:proofErr w:type="spellEnd"/>
      <w:r w:rsidRPr="00871E74">
        <w:rPr>
          <w:rFonts w:cs="Arial"/>
          <w:sz w:val="18"/>
          <w:lang w:val="en-US"/>
        </w:rPr>
        <w:t xml:space="preserve"> tradeoff has not been studied systematically across both deliberative and aggregative procedures within one unifying framework. Moreover, by comparing deliberative and aggregative procedures across expert and diverse groups, my study aims to improve our understanding of the complex interactions between institutional design, participant selection, and epistemic performance. I will argue that this provides new insights for debates about democratic legitimacy, the value of political equality, and the design of decision-making institutions.</w:t>
      </w:r>
    </w:p>
    <w:p w14:paraId="14671EC6" w14:textId="77777777" w:rsidR="005A2244" w:rsidRPr="00871E74" w:rsidRDefault="00000000" w:rsidP="00DF14E0">
      <w:pPr>
        <w:keepNext/>
        <w:spacing w:after="20" w:line="360" w:lineRule="auto"/>
        <w:jc w:val="both"/>
        <w:rPr>
          <w:rFonts w:cs="Arial"/>
          <w:lang w:val="en-US"/>
        </w:rPr>
      </w:pPr>
      <w:r w:rsidRPr="00871E74">
        <w:rPr>
          <w:rFonts w:cs="Arial"/>
          <w:b/>
          <w:sz w:val="17"/>
          <w:lang w:val="en-US"/>
        </w:rPr>
        <w:t>References</w:t>
      </w:r>
    </w:p>
    <w:p w14:paraId="16FBDDD3" w14:textId="15C6B97B" w:rsidR="005A2244" w:rsidRPr="004B0BA5" w:rsidRDefault="00000000" w:rsidP="00DF14E0">
      <w:pPr>
        <w:spacing w:after="20" w:line="360" w:lineRule="auto"/>
        <w:jc w:val="both"/>
        <w:rPr>
          <w:rFonts w:cs="Arial"/>
          <w:lang w:val="en-US"/>
        </w:rPr>
      </w:pPr>
      <w:r w:rsidRPr="00871E74">
        <w:rPr>
          <w:rFonts w:cs="Arial"/>
          <w:sz w:val="15"/>
          <w:lang w:val="en-US"/>
        </w:rPr>
        <w:t xml:space="preserve">Brennan, Jason. 2016. Against Democracy. </w:t>
      </w:r>
      <w:r w:rsidRPr="00871E74">
        <w:rPr>
          <w:rFonts w:cs="Arial"/>
          <w:sz w:val="15"/>
          <w:lang w:val="fr-BE"/>
        </w:rPr>
        <w:t xml:space="preserve">Princeton </w:t>
      </w:r>
      <w:proofErr w:type="spellStart"/>
      <w:r w:rsidRPr="00871E74">
        <w:rPr>
          <w:rFonts w:cs="Arial"/>
          <w:sz w:val="15"/>
          <w:lang w:val="fr-BE"/>
        </w:rPr>
        <w:t>University</w:t>
      </w:r>
      <w:proofErr w:type="spellEnd"/>
      <w:r w:rsidRPr="00871E74">
        <w:rPr>
          <w:rFonts w:cs="Arial"/>
          <w:sz w:val="15"/>
          <w:lang w:val="fr-BE"/>
        </w:rPr>
        <w:t xml:space="preserve"> </w:t>
      </w:r>
      <w:proofErr w:type="spellStart"/>
      <w:r w:rsidRPr="00871E74">
        <w:rPr>
          <w:rFonts w:cs="Arial"/>
          <w:sz w:val="15"/>
          <w:lang w:val="fr-BE"/>
        </w:rPr>
        <w:t>Press</w:t>
      </w:r>
      <w:proofErr w:type="spellEnd"/>
      <w:r w:rsidRPr="00871E74">
        <w:rPr>
          <w:rFonts w:cs="Arial"/>
          <w:sz w:val="15"/>
          <w:lang w:val="fr-BE"/>
        </w:rPr>
        <w:t>.</w:t>
      </w:r>
      <w:r w:rsidR="002F0F96">
        <w:rPr>
          <w:rFonts w:cs="Arial"/>
          <w:lang w:val="fr-BE"/>
        </w:rPr>
        <w:t xml:space="preserve"> </w:t>
      </w:r>
      <w:r w:rsidRPr="00871E74">
        <w:rPr>
          <w:rFonts w:cs="Arial"/>
          <w:sz w:val="15"/>
          <w:lang w:val="fr-BE"/>
        </w:rPr>
        <w:t>Condorcet, Marquis de. 1785. Essai sur l’application de l’analyse à la probabilité des décisions rendues à la pluralité des voix.</w:t>
      </w:r>
      <w:r w:rsidR="002F0F96">
        <w:rPr>
          <w:rFonts w:cs="Arial"/>
          <w:lang w:val="fr-BE"/>
        </w:rPr>
        <w:t xml:space="preserve"> </w:t>
      </w:r>
      <w:r w:rsidRPr="004B0BA5">
        <w:rPr>
          <w:rFonts w:cs="Arial"/>
          <w:sz w:val="15"/>
          <w:lang w:val="en-US"/>
        </w:rPr>
        <w:t xml:space="preserve">Dietrich, Franz, and Kai Spiekermann. </w:t>
      </w:r>
      <w:r w:rsidRPr="00871E74">
        <w:rPr>
          <w:rFonts w:cs="Arial"/>
          <w:sz w:val="15"/>
          <w:lang w:val="en-US"/>
        </w:rPr>
        <w:t>2023. “Jury Theorems.” In The Stanford Encyclopedia of Philosophy, Spring 2023, edited by Edward N. Zalta and Uri Nodelman. Metaphysics Research Lab, Stanford University.</w:t>
      </w:r>
      <w:r w:rsidR="002F0F96" w:rsidRPr="002F0F96">
        <w:rPr>
          <w:rFonts w:cs="Arial"/>
          <w:lang w:val="en-US"/>
        </w:rPr>
        <w:t xml:space="preserve"> </w:t>
      </w:r>
      <w:r w:rsidRPr="00871E74">
        <w:rPr>
          <w:rFonts w:cs="Arial"/>
          <w:sz w:val="15"/>
          <w:lang w:val="en-US"/>
        </w:rPr>
        <w:t>Dietrich, Franz, and Kai Spiekermann. 2025. “Deliberation and the Wisdom of Crowds.” Economic Theory 79 (2): 603–55.</w:t>
      </w:r>
      <w:r w:rsidR="002F0F96" w:rsidRPr="004B0BA5">
        <w:rPr>
          <w:rFonts w:cs="Arial"/>
          <w:lang w:val="en-US"/>
        </w:rPr>
        <w:t xml:space="preserve"> </w:t>
      </w:r>
      <w:r w:rsidRPr="00871E74">
        <w:rPr>
          <w:rFonts w:cs="Arial"/>
          <w:sz w:val="15"/>
          <w:lang w:val="en-US"/>
        </w:rPr>
        <w:t>Goodin, Robert E., and Kai Spiekermann. 2018. An Epistemic Theory of Democracy. Oxford University Press.</w:t>
      </w:r>
      <w:r w:rsidR="002F0F96" w:rsidRPr="004B0BA5">
        <w:rPr>
          <w:rFonts w:cs="Arial"/>
          <w:lang w:val="en-US"/>
        </w:rPr>
        <w:t xml:space="preserve"> </w:t>
      </w:r>
      <w:r w:rsidRPr="00871E74">
        <w:rPr>
          <w:rFonts w:cs="Arial"/>
          <w:sz w:val="15"/>
          <w:lang w:val="en-US"/>
        </w:rPr>
        <w:t>Hong, Lu, and Scott E. Page. 2004. “Groups of Diverse Problem Solvers Can Outperform Groups of High-Ability Problem Solvers.” Social Sciences. Proceedings of the National Academy of Sciences 101 (46): 16385–89.</w:t>
      </w:r>
      <w:r w:rsidR="002F0F96" w:rsidRPr="004B0BA5">
        <w:rPr>
          <w:rFonts w:cs="Arial"/>
          <w:lang w:val="en-US"/>
        </w:rPr>
        <w:t xml:space="preserve"> </w:t>
      </w:r>
      <w:proofErr w:type="spellStart"/>
      <w:r w:rsidRPr="00871E74">
        <w:rPr>
          <w:rFonts w:cs="Arial"/>
          <w:sz w:val="15"/>
          <w:lang w:val="en-US"/>
        </w:rPr>
        <w:t>Landemore</w:t>
      </w:r>
      <w:proofErr w:type="spellEnd"/>
      <w:r w:rsidRPr="00871E74">
        <w:rPr>
          <w:rFonts w:cs="Arial"/>
          <w:sz w:val="15"/>
          <w:lang w:val="en-US"/>
        </w:rPr>
        <w:t>, Hélène. 2013. Democratic Reason: Politics, Collective Intelligence, and the Rule of the Many. Princeton University Press.</w:t>
      </w:r>
      <w:r w:rsidR="002F0F96" w:rsidRPr="004B0BA5">
        <w:rPr>
          <w:rFonts w:cs="Arial"/>
          <w:lang w:val="en-US"/>
        </w:rPr>
        <w:t xml:space="preserve"> </w:t>
      </w:r>
      <w:r w:rsidRPr="00871E74">
        <w:rPr>
          <w:rFonts w:cs="Arial"/>
          <w:sz w:val="15"/>
          <w:lang w:val="en-US"/>
        </w:rPr>
        <w:t>Page, Scott. 2007. The Difference: How the Power of Diversity Creates Better Groups, Firms, Schools, and Societies. Princeton University Press.</w:t>
      </w:r>
      <w:r w:rsidR="002F0F96" w:rsidRPr="004B0BA5">
        <w:rPr>
          <w:rFonts w:cs="Arial"/>
          <w:lang w:val="en-US"/>
        </w:rPr>
        <w:t xml:space="preserve"> </w:t>
      </w:r>
      <w:r w:rsidRPr="00871E74">
        <w:rPr>
          <w:rFonts w:cs="Arial"/>
          <w:sz w:val="15"/>
          <w:lang w:val="en-US"/>
        </w:rPr>
        <w:t>Somin, Ilya. 2013. Democracy and Political Ignorance. Stanford University Press.</w:t>
      </w:r>
    </w:p>
    <w:p w14:paraId="07AF4206" w14:textId="77777777" w:rsidR="00EC5D69" w:rsidRDefault="00EC5D69" w:rsidP="00DF14E0">
      <w:pPr>
        <w:keepNext/>
        <w:spacing w:after="20" w:line="360" w:lineRule="auto"/>
        <w:jc w:val="both"/>
        <w:rPr>
          <w:rFonts w:cs="Arial"/>
          <w:b/>
          <w:lang w:val="en-US"/>
        </w:rPr>
      </w:pPr>
    </w:p>
    <w:p w14:paraId="57799AAD" w14:textId="6655E140" w:rsidR="005A2244" w:rsidRPr="00871E74" w:rsidRDefault="00000000" w:rsidP="00DF14E0">
      <w:pPr>
        <w:keepNext/>
        <w:spacing w:after="20" w:line="360" w:lineRule="auto"/>
        <w:jc w:val="both"/>
        <w:rPr>
          <w:rFonts w:cs="Arial"/>
          <w:lang w:val="en-US"/>
        </w:rPr>
      </w:pPr>
      <w:r w:rsidRPr="00871E74">
        <w:rPr>
          <w:rFonts w:cs="Arial"/>
          <w:b/>
          <w:lang w:val="en-US"/>
        </w:rPr>
        <w:t>Christian List (Ludwig Maximilians-Universität München)</w:t>
      </w:r>
    </w:p>
    <w:p w14:paraId="0546096A" w14:textId="77777777" w:rsidR="00EC5D69" w:rsidRPr="00EC5D69" w:rsidRDefault="00EC5D69" w:rsidP="00EC5D69">
      <w:pPr>
        <w:spacing w:line="360" w:lineRule="auto"/>
        <w:jc w:val="both"/>
        <w:rPr>
          <w:i/>
          <w:sz w:val="18"/>
          <w:szCs w:val="18"/>
          <w:lang w:val="en-US"/>
        </w:rPr>
      </w:pPr>
      <w:r w:rsidRPr="00EC5D69">
        <w:rPr>
          <w:i/>
          <w:sz w:val="18"/>
          <w:szCs w:val="18"/>
          <w:lang w:val="en-US"/>
        </w:rPr>
        <w:t xml:space="preserve">Truth and indeterminacy in politics: An impossibility result for epistemic democracy </w:t>
      </w:r>
    </w:p>
    <w:p w14:paraId="546104D1" w14:textId="02A79543" w:rsidR="00EC5D69" w:rsidRPr="00EC5D69" w:rsidRDefault="00EC5D69" w:rsidP="00EC5D69">
      <w:pPr>
        <w:spacing w:line="360" w:lineRule="auto"/>
        <w:jc w:val="both"/>
        <w:rPr>
          <w:iCs/>
          <w:sz w:val="18"/>
          <w:szCs w:val="18"/>
          <w:lang w:val="en-BE"/>
        </w:rPr>
      </w:pPr>
      <w:r w:rsidRPr="00EC5D69">
        <w:rPr>
          <w:iCs/>
          <w:sz w:val="18"/>
          <w:szCs w:val="18"/>
          <w:lang w:val="en-US"/>
        </w:rPr>
        <w:t>(based on joint work with Victor Karl Magnússon)</w:t>
      </w:r>
    </w:p>
    <w:p w14:paraId="2902AA8E" w14:textId="0D6CFC34" w:rsidR="00EC5D69" w:rsidRPr="00EC5D69" w:rsidRDefault="00EC5D69" w:rsidP="00EC5D69">
      <w:pPr>
        <w:spacing w:line="360" w:lineRule="auto"/>
        <w:jc w:val="both"/>
        <w:rPr>
          <w:iCs/>
          <w:sz w:val="18"/>
          <w:szCs w:val="18"/>
          <w:lang w:val="en-BE"/>
        </w:rPr>
      </w:pPr>
      <w:r w:rsidRPr="00EC5D69">
        <w:rPr>
          <w:iCs/>
          <w:sz w:val="18"/>
          <w:szCs w:val="18"/>
          <w:lang w:val="en-US"/>
        </w:rPr>
        <w:t>Epistemic democrats argue that democracy is good at tracking the truth on political issues. In particular, they invoke a variety of formal and social-scientific results, most notably Condorcet’s jury theorem, which show that groups making decisions together can outperform even the best individual decision-makers. Such arguments, however, rely on one crucial assumption, namely that there exist independent political truths, which democratic procedures can discover. We challenge this assumption. We first distinguish between three notions of political truth and argue that epistemic democrats must rely on what we call “all-things-considered political truth”. Next, we show that all-things-considered political truth struggles to deal with a problem of multiple perspectives. Finally, we formalize our argument with the help of an impossibility result: all-things-considered truth can satisfy five plausible desiderata only in a trivial way that makes it subject to pervasive indeterminacy. The upshot is a metaphysical critique of epistemic democracy.</w:t>
      </w:r>
    </w:p>
    <w:p w14:paraId="24DC12DB" w14:textId="77777777" w:rsidR="00CA5AB4" w:rsidRDefault="00CA5AB4" w:rsidP="00DF14E0">
      <w:pPr>
        <w:keepNext/>
        <w:spacing w:after="20" w:line="360" w:lineRule="auto"/>
        <w:jc w:val="both"/>
        <w:rPr>
          <w:rFonts w:cs="Arial"/>
          <w:b/>
          <w:lang w:val="en-US"/>
        </w:rPr>
      </w:pPr>
    </w:p>
    <w:p w14:paraId="61282A1A" w14:textId="76909CCB" w:rsidR="005A2244" w:rsidRPr="00871E74" w:rsidRDefault="00000000" w:rsidP="00DF14E0">
      <w:pPr>
        <w:keepNext/>
        <w:spacing w:after="20" w:line="360" w:lineRule="auto"/>
        <w:jc w:val="both"/>
        <w:rPr>
          <w:rFonts w:cs="Arial"/>
          <w:lang w:val="en-US"/>
        </w:rPr>
      </w:pPr>
      <w:r w:rsidRPr="00871E74">
        <w:rPr>
          <w:rFonts w:cs="Arial"/>
          <w:b/>
          <w:lang w:val="en-US"/>
        </w:rPr>
        <w:t>Sofie Marien (Tree Company and KU Leuven)</w:t>
      </w:r>
    </w:p>
    <w:p w14:paraId="5CE40F4B" w14:textId="77777777" w:rsidR="005A2244" w:rsidRPr="00871E74" w:rsidRDefault="00000000" w:rsidP="00DF14E0">
      <w:pPr>
        <w:keepNext/>
        <w:spacing w:after="40" w:line="360" w:lineRule="auto"/>
        <w:jc w:val="both"/>
        <w:rPr>
          <w:rFonts w:cs="Arial"/>
          <w:lang w:val="en-US"/>
        </w:rPr>
      </w:pPr>
      <w:r w:rsidRPr="00871E74">
        <w:rPr>
          <w:rFonts w:cs="Arial"/>
          <w:i/>
          <w:lang w:val="en-US"/>
        </w:rPr>
        <w:t>From Deliberation to Democratic Impact: Engaging the Wider Public</w:t>
      </w:r>
    </w:p>
    <w:p w14:paraId="342BA702" w14:textId="77777777" w:rsidR="005A2244" w:rsidRPr="00871E74" w:rsidRDefault="00000000" w:rsidP="00DF14E0">
      <w:pPr>
        <w:spacing w:after="40" w:line="360" w:lineRule="auto"/>
        <w:jc w:val="both"/>
        <w:rPr>
          <w:rFonts w:cs="Arial"/>
          <w:lang w:val="en-US"/>
        </w:rPr>
      </w:pPr>
      <w:r w:rsidRPr="00871E74">
        <w:rPr>
          <w:rFonts w:cs="Arial"/>
          <w:sz w:val="18"/>
          <w:lang w:val="en-US"/>
        </w:rPr>
        <w:t>The impact and perceived legitimacy of citizen assemblies are shaped by both the quality of deliberation and their connection to the wider public. This keynote examines how deliberative mini-publics can build stronger connections with the broader “maxi-public”, drawing on insights from both research and practice.</w:t>
      </w:r>
    </w:p>
    <w:p w14:paraId="09B2CDBF" w14:textId="77777777" w:rsidR="005A2244" w:rsidRPr="00871E74" w:rsidRDefault="00000000" w:rsidP="00DF14E0">
      <w:pPr>
        <w:spacing w:after="40" w:line="360" w:lineRule="auto"/>
        <w:jc w:val="both"/>
        <w:rPr>
          <w:rFonts w:cs="Arial"/>
          <w:lang w:val="en-US"/>
        </w:rPr>
      </w:pPr>
      <w:r w:rsidRPr="00871E74">
        <w:rPr>
          <w:rFonts w:cs="Arial"/>
          <w:sz w:val="18"/>
          <w:lang w:val="en-US"/>
        </w:rPr>
        <w:t>These connections can be built at different stages of the process. Before an assembly starts, the wider public can be consulted, with their perspectives feeding into the deliberative process. After the assembly, the wider public can be engaged around its recommendations. How best to design this post-deliberative phase, however, raises many open questions.</w:t>
      </w:r>
    </w:p>
    <w:p w14:paraId="2B8BDFF2" w14:textId="77777777" w:rsidR="005A2244" w:rsidRPr="00871E74" w:rsidRDefault="00000000" w:rsidP="00DF14E0">
      <w:pPr>
        <w:spacing w:after="40" w:line="360" w:lineRule="auto"/>
        <w:jc w:val="both"/>
        <w:rPr>
          <w:rFonts w:cs="Arial"/>
          <w:lang w:val="en-US"/>
        </w:rPr>
      </w:pPr>
      <w:r w:rsidRPr="00871E74">
        <w:rPr>
          <w:rFonts w:cs="Arial"/>
          <w:sz w:val="18"/>
          <w:lang w:val="en-US"/>
        </w:rPr>
        <w:t xml:space="preserve">How should recommendations be communicated to the wider public? Should citizens outside the assembly be invited to respond to or assess them? What role can instruments such as a </w:t>
      </w:r>
      <w:proofErr w:type="spellStart"/>
      <w:r w:rsidRPr="00871E74">
        <w:rPr>
          <w:rFonts w:cs="Arial"/>
          <w:sz w:val="18"/>
          <w:lang w:val="en-US"/>
        </w:rPr>
        <w:t>preferendum</w:t>
      </w:r>
      <w:proofErr w:type="spellEnd"/>
      <w:r w:rsidRPr="00871E74">
        <w:rPr>
          <w:rFonts w:cs="Arial"/>
          <w:sz w:val="18"/>
          <w:lang w:val="en-US"/>
        </w:rPr>
        <w:t xml:space="preserve"> play in broadening public engagement and strengthening its perceived legitimacy and impact? And how can we involve the wider public without turning the outcomes of a deliberative process into a simple popularity test?</w:t>
      </w:r>
    </w:p>
    <w:p w14:paraId="301B0C4D" w14:textId="77777777" w:rsidR="005A2244" w:rsidRPr="00871E74" w:rsidRDefault="00000000" w:rsidP="00DF14E0">
      <w:pPr>
        <w:spacing w:after="40" w:line="360" w:lineRule="auto"/>
        <w:jc w:val="both"/>
        <w:rPr>
          <w:rFonts w:cs="Arial"/>
          <w:lang w:val="en-US"/>
        </w:rPr>
      </w:pPr>
      <w:r w:rsidRPr="00871E74">
        <w:rPr>
          <w:rFonts w:cs="Arial"/>
          <w:sz w:val="18"/>
          <w:lang w:val="en-US"/>
        </w:rPr>
        <w:t>The keynote maps key design choices, tensions and open questions, with particular attention to the post-deliberative stage. It builds on existing practices and innovations to identify priorities for future research and experimentation. Ultimately, the aim is to better understand how citizen assemblies can extend their reach beyond the deliberative room and generate a wider democratic impact.</w:t>
      </w:r>
    </w:p>
    <w:p w14:paraId="16ED80FA" w14:textId="77777777" w:rsidR="00CA5AB4" w:rsidRDefault="00CA5AB4" w:rsidP="00DF14E0">
      <w:pPr>
        <w:keepNext/>
        <w:spacing w:after="20" w:line="360" w:lineRule="auto"/>
        <w:jc w:val="both"/>
        <w:rPr>
          <w:rFonts w:cs="Arial"/>
          <w:b/>
          <w:lang w:val="en-US"/>
        </w:rPr>
      </w:pPr>
    </w:p>
    <w:p w14:paraId="18B3A118" w14:textId="5D8D384E" w:rsidR="005A2244" w:rsidRPr="00F37E3F" w:rsidRDefault="00000000" w:rsidP="00DF14E0">
      <w:pPr>
        <w:keepNext/>
        <w:spacing w:after="20" w:line="360" w:lineRule="auto"/>
        <w:jc w:val="both"/>
        <w:rPr>
          <w:rFonts w:cs="Arial"/>
        </w:rPr>
      </w:pPr>
      <w:proofErr w:type="spellStart"/>
      <w:r w:rsidRPr="00F37E3F">
        <w:rPr>
          <w:rFonts w:cs="Arial"/>
          <w:b/>
        </w:rPr>
        <w:t>Davide</w:t>
      </w:r>
      <w:proofErr w:type="spellEnd"/>
      <w:r w:rsidRPr="00F37E3F">
        <w:rPr>
          <w:rFonts w:cs="Arial"/>
          <w:b/>
        </w:rPr>
        <w:t xml:space="preserve"> </w:t>
      </w:r>
      <w:proofErr w:type="spellStart"/>
      <w:r w:rsidRPr="00F37E3F">
        <w:rPr>
          <w:rFonts w:cs="Arial"/>
          <w:b/>
        </w:rPr>
        <w:t>Grossi</w:t>
      </w:r>
      <w:proofErr w:type="spellEnd"/>
      <w:r w:rsidRPr="00F37E3F">
        <w:rPr>
          <w:rFonts w:cs="Arial"/>
          <w:b/>
        </w:rPr>
        <w:t xml:space="preserve"> (Rijksuniversiteit Groningen</w:t>
      </w:r>
      <w:r w:rsidR="00F37E3F" w:rsidRPr="00F37E3F">
        <w:rPr>
          <w:rFonts w:cs="Arial"/>
          <w:b/>
        </w:rPr>
        <w:t xml:space="preserve"> &amp; Universiteit van Am</w:t>
      </w:r>
      <w:r w:rsidR="00F37E3F">
        <w:rPr>
          <w:rFonts w:cs="Arial"/>
          <w:b/>
        </w:rPr>
        <w:t>sterdam</w:t>
      </w:r>
      <w:r w:rsidRPr="00F37E3F">
        <w:rPr>
          <w:rFonts w:cs="Arial"/>
          <w:b/>
        </w:rPr>
        <w:t>)</w:t>
      </w:r>
    </w:p>
    <w:p w14:paraId="3E37D542" w14:textId="77777777" w:rsidR="005A2244" w:rsidRPr="00871E74" w:rsidRDefault="00000000" w:rsidP="00DF14E0">
      <w:pPr>
        <w:keepNext/>
        <w:spacing w:after="40" w:line="360" w:lineRule="auto"/>
        <w:jc w:val="both"/>
        <w:rPr>
          <w:rFonts w:cs="Arial"/>
          <w:lang w:val="en-US"/>
        </w:rPr>
      </w:pPr>
      <w:r w:rsidRPr="00871E74">
        <w:rPr>
          <w:rFonts w:cs="Arial"/>
          <w:i/>
          <w:lang w:val="en-US"/>
        </w:rPr>
        <w:t>Computational Challenges in Scaling Democratic Deliberation</w:t>
      </w:r>
    </w:p>
    <w:p w14:paraId="7EFD2003" w14:textId="77777777" w:rsidR="005A2244" w:rsidRPr="00871E74" w:rsidRDefault="00000000" w:rsidP="00DF14E0">
      <w:pPr>
        <w:spacing w:after="40" w:line="360" w:lineRule="auto"/>
        <w:jc w:val="both"/>
        <w:rPr>
          <w:rFonts w:cs="Arial"/>
          <w:lang w:val="en-US"/>
        </w:rPr>
      </w:pPr>
      <w:r w:rsidRPr="00871E74">
        <w:rPr>
          <w:rFonts w:cs="Arial"/>
          <w:sz w:val="18"/>
          <w:lang w:val="en-US"/>
        </w:rPr>
        <w:t>In this talk I will provide an overview of core functionalities that digital democracy software would need to provide in order to support democratic deliberative processes at scale. Developing these functionalities poses novel computational challenges and requires algorithmic solutions to interesting mathematical problems. My aim in the talk is to break some ground towards a structured inventory of such problems, and to position possible approaches to them within current academic research in computer science and artificial intelligence.</w:t>
      </w:r>
    </w:p>
    <w:p w14:paraId="4619BC32" w14:textId="77777777" w:rsidR="00CA5AB4" w:rsidRDefault="00CA5AB4" w:rsidP="00DF14E0">
      <w:pPr>
        <w:keepNext/>
        <w:spacing w:after="20" w:line="360" w:lineRule="auto"/>
        <w:jc w:val="both"/>
        <w:rPr>
          <w:rFonts w:cs="Arial"/>
          <w:b/>
          <w:lang w:val="en-US"/>
        </w:rPr>
      </w:pPr>
    </w:p>
    <w:p w14:paraId="4FC20787" w14:textId="3079A773" w:rsidR="005A2244" w:rsidRPr="00871E74" w:rsidRDefault="00000000" w:rsidP="00DF14E0">
      <w:pPr>
        <w:keepNext/>
        <w:spacing w:after="20" w:line="360" w:lineRule="auto"/>
        <w:jc w:val="both"/>
        <w:rPr>
          <w:rFonts w:cs="Arial"/>
          <w:lang w:val="en-US"/>
        </w:rPr>
      </w:pPr>
      <w:r w:rsidRPr="00871E74">
        <w:rPr>
          <w:rFonts w:cs="Arial"/>
          <w:b/>
          <w:lang w:val="en-US"/>
        </w:rPr>
        <w:t>Cristina Lafont (Northwestern University)</w:t>
      </w:r>
    </w:p>
    <w:p w14:paraId="61A7AA38" w14:textId="77777777" w:rsidR="005A2244" w:rsidRPr="00871E74" w:rsidRDefault="00000000" w:rsidP="00DF14E0">
      <w:pPr>
        <w:keepNext/>
        <w:spacing w:after="40" w:line="360" w:lineRule="auto"/>
        <w:jc w:val="both"/>
        <w:rPr>
          <w:rFonts w:cs="Arial"/>
          <w:lang w:val="en-US"/>
        </w:rPr>
      </w:pPr>
      <w:r w:rsidRPr="00871E74">
        <w:rPr>
          <w:rFonts w:cs="Arial"/>
          <w:i/>
          <w:lang w:val="en-US"/>
        </w:rPr>
        <w:t>Democratic Deliberation without Shortcuts:  Should AI Empower or Replace Citizens?</w:t>
      </w:r>
    </w:p>
    <w:p w14:paraId="783A20EC" w14:textId="77777777" w:rsidR="005A2244" w:rsidRPr="00871E74" w:rsidRDefault="00000000" w:rsidP="00DF14E0">
      <w:pPr>
        <w:spacing w:after="40" w:line="360" w:lineRule="auto"/>
        <w:jc w:val="both"/>
        <w:rPr>
          <w:rFonts w:cs="Arial"/>
          <w:lang w:val="en-US"/>
        </w:rPr>
      </w:pPr>
      <w:r w:rsidRPr="00871E74">
        <w:rPr>
          <w:rFonts w:cs="Arial"/>
          <w:sz w:val="18"/>
          <w:lang w:val="en-US"/>
        </w:rPr>
        <w:t xml:space="preserve">In my talk, I examine the emergence of AI-driven deliberative systems from the perspective of their democratic significance. I argue that these developments raise a new, potentially more radical version of the challenge I identified in Democracy without Shortcuts: the temptation to replace citizens with other actors rather than empower them. I trace this development from AI-moderated and AI-mediated deliberation to AI-delegated, AI-simulated, and autonomous AI deliberation, identifying AI delegation as a pivotal point at which AI systems move from facilitating citizens’ deliberation to deliberating on their behalf. After examining the dilemma that AI delegation poses, I then develop two arguments against what I call the </w:t>
      </w:r>
      <w:proofErr w:type="spellStart"/>
      <w:r w:rsidRPr="00871E74">
        <w:rPr>
          <w:rFonts w:cs="Arial"/>
          <w:sz w:val="18"/>
          <w:lang w:val="en-US"/>
        </w:rPr>
        <w:t>algocratic</w:t>
      </w:r>
      <w:proofErr w:type="spellEnd"/>
      <w:r w:rsidRPr="00871E74">
        <w:rPr>
          <w:rFonts w:cs="Arial"/>
          <w:sz w:val="18"/>
          <w:lang w:val="en-US"/>
        </w:rPr>
        <w:t xml:space="preserve"> shortcut: the proposal to </w:t>
      </w:r>
      <w:r w:rsidRPr="00871E74">
        <w:rPr>
          <w:rFonts w:cs="Arial"/>
          <w:sz w:val="18"/>
          <w:lang w:val="en-US"/>
        </w:rPr>
        <w:lastRenderedPageBreak/>
        <w:t>overcome the limitations of human deliberation by transferring deliberative functions from citizens to AI systems. The first concerns what democracy loses when citizens’ deliberative agency is replaced by that of AI systems. The second challenges the assumption that bypassing citizens in political deliberation and decision-making will necessarily produce better political outcomes. Taken together, these arguments suggest that the development of AI for political deliberation is not merely a technological question but a political choice between empowering and replacing citizens—a choice with profound implications for the future of democracy.</w:t>
      </w:r>
    </w:p>
    <w:p w14:paraId="690E043A" w14:textId="77777777" w:rsidR="005A2244" w:rsidRPr="00871E74" w:rsidRDefault="00000000" w:rsidP="00DF14E0">
      <w:pPr>
        <w:keepNext/>
        <w:spacing w:before="100" w:after="80" w:line="360" w:lineRule="auto"/>
        <w:jc w:val="both"/>
        <w:rPr>
          <w:rFonts w:cs="Arial"/>
          <w:lang w:val="en-US"/>
        </w:rPr>
      </w:pPr>
      <w:r w:rsidRPr="00871E74">
        <w:rPr>
          <w:rFonts w:cs="Arial"/>
          <w:b/>
          <w:sz w:val="24"/>
          <w:lang w:val="en-US"/>
        </w:rPr>
        <w:t>Contributed Talks</w:t>
      </w:r>
    </w:p>
    <w:p w14:paraId="59C52712" w14:textId="77777777" w:rsidR="005A2244" w:rsidRPr="00871E74" w:rsidRDefault="00000000" w:rsidP="00775D17">
      <w:pPr>
        <w:keepNext/>
        <w:pBdr>
          <w:top w:val="single" w:sz="4" w:space="1" w:color="auto"/>
          <w:left w:val="single" w:sz="4" w:space="4" w:color="auto"/>
          <w:bottom w:val="single" w:sz="4" w:space="1" w:color="auto"/>
          <w:right w:val="single" w:sz="4" w:space="4" w:color="auto"/>
        </w:pBdr>
        <w:spacing w:before="80" w:after="60" w:line="360" w:lineRule="auto"/>
        <w:jc w:val="both"/>
        <w:rPr>
          <w:rFonts w:cs="Arial"/>
          <w:lang w:val="en-US"/>
        </w:rPr>
      </w:pPr>
      <w:r w:rsidRPr="00871E74">
        <w:rPr>
          <w:rFonts w:cs="Arial"/>
          <w:b/>
          <w:sz w:val="21"/>
          <w:lang w:val="en-US"/>
        </w:rPr>
        <w:t>Contributed Talks I: Deliberative Democracy &amp; Social Choice</w:t>
      </w:r>
    </w:p>
    <w:p w14:paraId="7B78BCFF" w14:textId="77777777" w:rsidR="005A2244" w:rsidRPr="00871E74" w:rsidRDefault="00000000" w:rsidP="00DF14E0">
      <w:pPr>
        <w:keepNext/>
        <w:spacing w:after="20" w:line="360" w:lineRule="auto"/>
        <w:jc w:val="both"/>
        <w:rPr>
          <w:rFonts w:cs="Arial"/>
          <w:lang w:val="en-US"/>
        </w:rPr>
      </w:pPr>
      <w:r w:rsidRPr="00871E74">
        <w:rPr>
          <w:rFonts w:cs="Arial"/>
          <w:b/>
          <w:sz w:val="18"/>
          <w:lang w:val="en-US"/>
        </w:rPr>
        <w:t>Rosa Bauer &amp; Adrian Haret (Ludwig Maximilians-Universität München)</w:t>
      </w:r>
    </w:p>
    <w:p w14:paraId="61F76C35"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You All Need to Hear This: Wisdom of Crowds with Deliberating Jurors</w:t>
      </w:r>
    </w:p>
    <w:p w14:paraId="371DF793" w14:textId="3BBF64BC" w:rsidR="005A2244" w:rsidRPr="00871E74" w:rsidRDefault="00000000" w:rsidP="00DF14E0">
      <w:pPr>
        <w:spacing w:after="40" w:line="360" w:lineRule="auto"/>
        <w:jc w:val="both"/>
        <w:rPr>
          <w:rFonts w:cs="Arial"/>
          <w:lang w:val="en-US"/>
        </w:rPr>
      </w:pPr>
      <w:r w:rsidRPr="00871E74">
        <w:rPr>
          <w:rFonts w:cs="Arial"/>
          <w:sz w:val="17"/>
          <w:lang w:val="en-US"/>
        </w:rPr>
        <w:t>A persistent worry about democratic decision-making is that it relies on flawed inputs: elections aggregate whatever opinions voters happen to express, without any guarantee that such opinions are well-informed or unbiased. The result is that the collective choice is often perceived to be sub-optimal, and trust in democratic institutions is eroded.</w:t>
      </w:r>
    </w:p>
    <w:p w14:paraId="13AF8E75" w14:textId="77777777" w:rsidR="005A2244" w:rsidRPr="00871E74" w:rsidRDefault="00000000" w:rsidP="00DF14E0">
      <w:pPr>
        <w:spacing w:after="40" w:line="360" w:lineRule="auto"/>
        <w:jc w:val="both"/>
        <w:rPr>
          <w:rFonts w:cs="Arial"/>
          <w:lang w:val="en-US"/>
        </w:rPr>
      </w:pPr>
      <w:r w:rsidRPr="00871E74">
        <w:rPr>
          <w:rFonts w:cs="Arial"/>
          <w:sz w:val="17"/>
          <w:lang w:val="en-US"/>
        </w:rPr>
        <w:t>Deliberation is often proposed as a remedy for this problem. The positive case for deliberation is that structured communication and weighing of reasons exposes decision makers to competing arguments and new evidence, thereby improving the quality of their opinions and, down the line, the quality of the group decision. Deliberation, in this view, is a catalyst for the wisdom of the crowds: it makes it possible for relevant knowledge and evidence, which is otherwise scattered across people and institutions, to be pooled together and made available to everyone. In this way, when it comes time to vote, voters are better informed and more likely to make the right call. In other words, deliberation complements the aggregation of opinions with a collective learning process, or so the optimistic story goes.</w:t>
      </w:r>
    </w:p>
    <w:p w14:paraId="50F8DFFE" w14:textId="77777777" w:rsidR="005A2244" w:rsidRPr="00871E74" w:rsidRDefault="00000000" w:rsidP="00DF14E0">
      <w:pPr>
        <w:spacing w:after="40" w:line="360" w:lineRule="auto"/>
        <w:jc w:val="both"/>
        <w:rPr>
          <w:rFonts w:cs="Arial"/>
          <w:lang w:val="en-US"/>
        </w:rPr>
      </w:pPr>
      <w:r w:rsidRPr="00871E74">
        <w:rPr>
          <w:rFonts w:cs="Arial"/>
          <w:sz w:val="17"/>
          <w:lang w:val="en-US"/>
        </w:rPr>
        <w:t>Critics of deliberation point out that such positive effects occur only in idealized conditions, rarely met in practice, and that whatever benefit deliberation may bring, its impact is mild at best. There is, thus, a tension at the heart of the deliberation project, with plausible arguments showing that deliberation can go either inspiringly right or spectacularly wrong. What is needed is a clearer picture of the conditions and incentives that are likely to tip the outcome of deliberation in one direction or the other. Our aim is to provide such a picture.</w:t>
      </w:r>
    </w:p>
    <w:p w14:paraId="76B5E3AB" w14:textId="77777777" w:rsidR="005A2244" w:rsidRDefault="00000000" w:rsidP="00DF14E0">
      <w:pPr>
        <w:spacing w:after="40" w:line="360" w:lineRule="auto"/>
        <w:jc w:val="both"/>
        <w:rPr>
          <w:rFonts w:cs="Arial"/>
          <w:sz w:val="17"/>
          <w:lang w:val="en-US"/>
        </w:rPr>
      </w:pPr>
      <w:r w:rsidRPr="00871E74">
        <w:rPr>
          <w:rFonts w:cs="Arial"/>
          <w:sz w:val="17"/>
          <w:lang w:val="en-US"/>
        </w:rPr>
        <w:t>In this paper we analyze a formal model of deliberation in which agents have probabilistic access to evidence and selectively disclose it to their peers in order to induce opinion change. We present theoretical and simulation results that tackle the question: does deliberation improve the collective accuracy of the group? Through a jury theorem we chart the conditions that allow wisdom of crowds to emerge after a few steps of deliberation, and, through simulations, we show how this effect is sensitive to the evidence acquisition mechanism and, implicitly, to the diversity in the initial evidence distribution.</w:t>
      </w:r>
    </w:p>
    <w:p w14:paraId="2FADF625" w14:textId="77777777" w:rsidR="002F0F96" w:rsidRPr="00871E74" w:rsidRDefault="002F0F96" w:rsidP="00DF14E0">
      <w:pPr>
        <w:spacing w:after="40" w:line="360" w:lineRule="auto"/>
        <w:jc w:val="both"/>
        <w:rPr>
          <w:rFonts w:cs="Arial"/>
          <w:lang w:val="en-US"/>
        </w:rPr>
      </w:pPr>
    </w:p>
    <w:p w14:paraId="3AEC1381" w14:textId="77777777" w:rsidR="005A2244" w:rsidRPr="00871E74" w:rsidRDefault="00000000" w:rsidP="00DF14E0">
      <w:pPr>
        <w:keepNext/>
        <w:spacing w:after="20" w:line="360" w:lineRule="auto"/>
        <w:jc w:val="both"/>
        <w:rPr>
          <w:rFonts w:cs="Arial"/>
          <w:lang w:val="en-US"/>
        </w:rPr>
      </w:pPr>
      <w:r w:rsidRPr="00871E74">
        <w:rPr>
          <w:rFonts w:cs="Arial"/>
          <w:b/>
          <w:sz w:val="18"/>
          <w:lang w:val="en-US"/>
        </w:rPr>
        <w:t xml:space="preserve">Théo </w:t>
      </w:r>
      <w:proofErr w:type="spellStart"/>
      <w:r w:rsidRPr="00871E74">
        <w:rPr>
          <w:rFonts w:cs="Arial"/>
          <w:b/>
          <w:sz w:val="18"/>
          <w:lang w:val="en-US"/>
        </w:rPr>
        <w:t>Delemazure</w:t>
      </w:r>
      <w:proofErr w:type="spellEnd"/>
      <w:r w:rsidRPr="00871E74">
        <w:rPr>
          <w:rFonts w:cs="Arial"/>
          <w:b/>
          <w:sz w:val="18"/>
          <w:lang w:val="en-US"/>
        </w:rPr>
        <w:t xml:space="preserve"> (Universiteit van </w:t>
      </w:r>
      <w:proofErr w:type="spellStart"/>
      <w:r w:rsidRPr="00871E74">
        <w:rPr>
          <w:rFonts w:cs="Arial"/>
          <w:b/>
          <w:sz w:val="18"/>
          <w:lang w:val="en-US"/>
        </w:rPr>
        <w:t>Amstedam</w:t>
      </w:r>
      <w:proofErr w:type="spellEnd"/>
      <w:r w:rsidRPr="00871E74">
        <w:rPr>
          <w:rFonts w:cs="Arial"/>
          <w:b/>
          <w:sz w:val="18"/>
          <w:lang w:val="en-US"/>
        </w:rPr>
        <w:t xml:space="preserve">), Ulle Endriss (Universiteit van Amsterdam), Umberto Grandi (Université Toulouse </w:t>
      </w:r>
      <w:proofErr w:type="spellStart"/>
      <w:r w:rsidRPr="00871E74">
        <w:rPr>
          <w:rFonts w:cs="Arial"/>
          <w:b/>
          <w:sz w:val="18"/>
          <w:lang w:val="en-US"/>
        </w:rPr>
        <w:t>Capitole</w:t>
      </w:r>
      <w:proofErr w:type="spellEnd"/>
      <w:r w:rsidRPr="00871E74">
        <w:rPr>
          <w:rFonts w:cs="Arial"/>
          <w:b/>
          <w:sz w:val="18"/>
          <w:lang w:val="en-US"/>
        </w:rPr>
        <w:t xml:space="preserve">), Mohamed </w:t>
      </w:r>
      <w:proofErr w:type="spellStart"/>
      <w:r w:rsidRPr="00871E74">
        <w:rPr>
          <w:rFonts w:cs="Arial"/>
          <w:b/>
          <w:sz w:val="18"/>
          <w:lang w:val="en-US"/>
        </w:rPr>
        <w:t>Ouaguenouni</w:t>
      </w:r>
      <w:proofErr w:type="spellEnd"/>
      <w:r w:rsidRPr="00871E74">
        <w:rPr>
          <w:rFonts w:cs="Arial"/>
          <w:b/>
          <w:sz w:val="18"/>
          <w:lang w:val="en-US"/>
        </w:rPr>
        <w:t xml:space="preserve"> (Université Toulouse </w:t>
      </w:r>
      <w:proofErr w:type="spellStart"/>
      <w:r w:rsidRPr="00871E74">
        <w:rPr>
          <w:rFonts w:cs="Arial"/>
          <w:b/>
          <w:sz w:val="18"/>
          <w:lang w:val="en-US"/>
        </w:rPr>
        <w:t>Capitole</w:t>
      </w:r>
      <w:proofErr w:type="spellEnd"/>
      <w:r w:rsidRPr="00871E74">
        <w:rPr>
          <w:rFonts w:cs="Arial"/>
          <w:b/>
          <w:sz w:val="18"/>
          <w:lang w:val="en-US"/>
        </w:rPr>
        <w:t>)</w:t>
      </w:r>
    </w:p>
    <w:p w14:paraId="0DB5036C"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Single-</w:t>
      </w:r>
      <w:proofErr w:type="spellStart"/>
      <w:r w:rsidRPr="00871E74">
        <w:rPr>
          <w:rFonts w:cs="Arial"/>
          <w:i/>
          <w:sz w:val="18"/>
          <w:lang w:val="en-US"/>
        </w:rPr>
        <w:t>Peakedness</w:t>
      </w:r>
      <w:proofErr w:type="spellEnd"/>
      <w:r w:rsidRPr="00871E74">
        <w:rPr>
          <w:rFonts w:cs="Arial"/>
          <w:i/>
          <w:sz w:val="18"/>
          <w:lang w:val="en-US"/>
        </w:rPr>
        <w:t xml:space="preserve"> for Incomplete Preferences and Meta-Consensus from Deliberation</w:t>
      </w:r>
    </w:p>
    <w:p w14:paraId="64378DE1" w14:textId="77777777" w:rsidR="005A2244" w:rsidRPr="00871E74" w:rsidRDefault="00000000" w:rsidP="00DF14E0">
      <w:pPr>
        <w:spacing w:after="40" w:line="360" w:lineRule="auto"/>
        <w:jc w:val="both"/>
        <w:rPr>
          <w:rFonts w:cs="Arial"/>
          <w:lang w:val="en-US"/>
        </w:rPr>
      </w:pPr>
      <w:r w:rsidRPr="00871E74">
        <w:rPr>
          <w:rFonts w:cs="Arial"/>
          <w:sz w:val="17"/>
          <w:lang w:val="en-US"/>
        </w:rPr>
        <w:t>Single-</w:t>
      </w:r>
      <w:proofErr w:type="spellStart"/>
      <w:r w:rsidRPr="00871E74">
        <w:rPr>
          <w:rFonts w:cs="Arial"/>
          <w:sz w:val="17"/>
          <w:lang w:val="en-US"/>
        </w:rPr>
        <w:t>peakedness</w:t>
      </w:r>
      <w:proofErr w:type="spellEnd"/>
      <w:r w:rsidRPr="00871E74">
        <w:rPr>
          <w:rFonts w:cs="Arial"/>
          <w:sz w:val="17"/>
          <w:lang w:val="en-US"/>
        </w:rPr>
        <w:t xml:space="preserve"> is one of the core concepts studied in social choice theory. When a population's preferences are single-peaked, this greatly simplifies collective decision making and can offer deep insights into the internal makeup of that population. Inspired by the needs of applications in the domain of digital democracy, we investigate how to </w:t>
      </w:r>
      <w:proofErr w:type="spellStart"/>
      <w:r w:rsidRPr="00871E74">
        <w:rPr>
          <w:rFonts w:cs="Arial"/>
          <w:sz w:val="17"/>
          <w:lang w:val="en-US"/>
        </w:rPr>
        <w:t>generalise</w:t>
      </w:r>
      <w:proofErr w:type="spellEnd"/>
      <w:r w:rsidRPr="00871E74">
        <w:rPr>
          <w:rFonts w:cs="Arial"/>
          <w:sz w:val="17"/>
          <w:lang w:val="en-US"/>
        </w:rPr>
        <w:t xml:space="preserve"> the concept of single-</w:t>
      </w:r>
      <w:proofErr w:type="spellStart"/>
      <w:r w:rsidRPr="00871E74">
        <w:rPr>
          <w:rFonts w:cs="Arial"/>
          <w:sz w:val="17"/>
          <w:lang w:val="en-US"/>
        </w:rPr>
        <w:t>peakedness</w:t>
      </w:r>
      <w:proofErr w:type="spellEnd"/>
      <w:r w:rsidRPr="00871E74">
        <w:rPr>
          <w:rFonts w:cs="Arial"/>
          <w:sz w:val="17"/>
          <w:lang w:val="en-US"/>
        </w:rPr>
        <w:t xml:space="preserve"> from the classical model of voting with ranked preferences to a richer and more flexible model where preferences can be incomplete and might include indifferences. We demonstrate that a systematic analysis leads to a total of ten different notions of single-</w:t>
      </w:r>
      <w:proofErr w:type="spellStart"/>
      <w:r w:rsidRPr="00871E74">
        <w:rPr>
          <w:rFonts w:cs="Arial"/>
          <w:sz w:val="17"/>
          <w:lang w:val="en-US"/>
        </w:rPr>
        <w:t>peakedness</w:t>
      </w:r>
      <w:proofErr w:type="spellEnd"/>
      <w:r w:rsidRPr="00871E74">
        <w:rPr>
          <w:rFonts w:cs="Arial"/>
          <w:sz w:val="17"/>
          <w:lang w:val="en-US"/>
        </w:rPr>
        <w:t>, all of which can and should be studied in normative, algorithmic, and experimental terms so as to arrive at recommendations for which of them to use in practice.</w:t>
      </w:r>
    </w:p>
    <w:p w14:paraId="424AD6B7" w14:textId="77777777" w:rsidR="005A2244" w:rsidRDefault="00000000" w:rsidP="00DF14E0">
      <w:pPr>
        <w:spacing w:after="40" w:line="360" w:lineRule="auto"/>
        <w:jc w:val="both"/>
        <w:rPr>
          <w:rFonts w:cs="Arial"/>
          <w:sz w:val="17"/>
          <w:lang w:val="en-US"/>
        </w:rPr>
      </w:pPr>
      <w:r w:rsidRPr="00871E74">
        <w:rPr>
          <w:rFonts w:cs="Arial"/>
          <w:sz w:val="17"/>
          <w:lang w:val="en-US"/>
        </w:rPr>
        <w:t>In this talk, I will in particular highlight how the availability of multiple competing definitions of single-</w:t>
      </w:r>
      <w:proofErr w:type="spellStart"/>
      <w:r w:rsidRPr="00871E74">
        <w:rPr>
          <w:rFonts w:cs="Arial"/>
          <w:sz w:val="17"/>
          <w:lang w:val="en-US"/>
        </w:rPr>
        <w:t>peakedness</w:t>
      </w:r>
      <w:proofErr w:type="spellEnd"/>
      <w:r w:rsidRPr="00871E74">
        <w:rPr>
          <w:rFonts w:cs="Arial"/>
          <w:sz w:val="17"/>
          <w:lang w:val="en-US"/>
        </w:rPr>
        <w:t xml:space="preserve"> allows us to revisit important questions regarding the propensity of democratic deliberation to </w:t>
      </w:r>
      <w:proofErr w:type="spellStart"/>
      <w:r w:rsidRPr="00871E74">
        <w:rPr>
          <w:rFonts w:cs="Arial"/>
          <w:sz w:val="17"/>
          <w:lang w:val="en-US"/>
        </w:rPr>
        <w:t>favour</w:t>
      </w:r>
      <w:proofErr w:type="spellEnd"/>
      <w:r w:rsidRPr="00871E74">
        <w:rPr>
          <w:rFonts w:cs="Arial"/>
          <w:sz w:val="17"/>
          <w:lang w:val="en-US"/>
        </w:rPr>
        <w:t xml:space="preserve"> the formation of preferences that are single-peaked and thus reflect some form of meta-consensus within the population.</w:t>
      </w:r>
    </w:p>
    <w:p w14:paraId="14460F57" w14:textId="77777777" w:rsidR="002F0F96" w:rsidRDefault="002F0F96" w:rsidP="00DF14E0">
      <w:pPr>
        <w:spacing w:after="40" w:line="360" w:lineRule="auto"/>
        <w:jc w:val="both"/>
        <w:rPr>
          <w:rFonts w:cs="Arial"/>
          <w:sz w:val="17"/>
          <w:lang w:val="en-US"/>
        </w:rPr>
      </w:pPr>
    </w:p>
    <w:p w14:paraId="1B0DC17C" w14:textId="77777777" w:rsidR="002F0F96" w:rsidRPr="00871E74" w:rsidRDefault="002F0F96" w:rsidP="00DF14E0">
      <w:pPr>
        <w:spacing w:after="40" w:line="360" w:lineRule="auto"/>
        <w:jc w:val="both"/>
        <w:rPr>
          <w:rFonts w:cs="Arial"/>
          <w:lang w:val="en-US"/>
        </w:rPr>
      </w:pPr>
    </w:p>
    <w:p w14:paraId="4C1C0C7C" w14:textId="77777777" w:rsidR="005A2244" w:rsidRPr="00871E74" w:rsidRDefault="00000000" w:rsidP="00775D17">
      <w:pPr>
        <w:keepNext/>
        <w:pBdr>
          <w:top w:val="single" w:sz="4" w:space="1" w:color="auto"/>
          <w:left w:val="single" w:sz="4" w:space="4" w:color="auto"/>
          <w:bottom w:val="single" w:sz="4" w:space="1" w:color="auto"/>
          <w:right w:val="single" w:sz="4" w:space="4" w:color="auto"/>
        </w:pBdr>
        <w:spacing w:before="80" w:after="60" w:line="360" w:lineRule="auto"/>
        <w:jc w:val="both"/>
        <w:rPr>
          <w:rFonts w:cs="Arial"/>
          <w:lang w:val="en-US"/>
        </w:rPr>
      </w:pPr>
      <w:r w:rsidRPr="00871E74">
        <w:rPr>
          <w:rFonts w:cs="Arial"/>
          <w:b/>
          <w:sz w:val="21"/>
          <w:lang w:val="en-US"/>
        </w:rPr>
        <w:lastRenderedPageBreak/>
        <w:t>Contributed Talks II: Participatory Budgeting</w:t>
      </w:r>
    </w:p>
    <w:p w14:paraId="6B17E15D" w14:textId="77777777" w:rsidR="005A2244" w:rsidRPr="00871E74" w:rsidRDefault="00000000" w:rsidP="00DF14E0">
      <w:pPr>
        <w:keepNext/>
        <w:spacing w:after="20" w:line="360" w:lineRule="auto"/>
        <w:jc w:val="both"/>
        <w:rPr>
          <w:rFonts w:cs="Arial"/>
          <w:lang w:val="en-US"/>
        </w:rPr>
      </w:pPr>
      <w:r w:rsidRPr="00871E74">
        <w:rPr>
          <w:rFonts w:cs="Arial"/>
          <w:b/>
          <w:sz w:val="18"/>
          <w:lang w:val="en-US"/>
        </w:rPr>
        <w:t>Erica Yu (Universiteit Tilburg)</w:t>
      </w:r>
    </w:p>
    <w:p w14:paraId="0E2D9158"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Participatory Budgeting Beyond Direct Democracy: The case of the Philippines</w:t>
      </w:r>
    </w:p>
    <w:p w14:paraId="3EAC86DD" w14:textId="77777777" w:rsidR="005A2244" w:rsidRPr="00871E74" w:rsidRDefault="00000000" w:rsidP="00DF14E0">
      <w:pPr>
        <w:spacing w:after="40" w:line="360" w:lineRule="auto"/>
        <w:jc w:val="both"/>
        <w:rPr>
          <w:rFonts w:cs="Arial"/>
          <w:lang w:val="en-US"/>
        </w:rPr>
      </w:pPr>
      <w:r w:rsidRPr="00871E74">
        <w:rPr>
          <w:rFonts w:cs="Arial"/>
          <w:sz w:val="17"/>
          <w:lang w:val="en-US"/>
        </w:rPr>
        <w:t>Participatory budgeting is broadly defined as “a budgeting practice built on the active participation of citizens in budgetary decisions with the aim of influencing resource allocation” (Bartocci et al. 2022, 758). There are a variety of ways in which PB has been implemented, which is evident in the variety of specific definitions that have been proposed. A common denominator is that all citizens are entitled to play an active role, through direct participation in the deliberative and decision-making processes with respect to budgetary decisions. The cases of Porto Alegre and Madrid are classic examples of this, with citizens being able to propose, discuss, and vote directly on the projects they want to see funded. On the other hand, participatory budgeting in the Philippines takes the ‘participatory’ element to be indirect and representative. For example, Quezon City’s move towards participatory budgeting rests on “partnering with civil society organizations (CSOs) to ensure that the voices of ... communities are heard and their priorities are taken into account” (Open Government Partnership 2026).</w:t>
      </w:r>
    </w:p>
    <w:p w14:paraId="7BBEA9B8"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Participatory budgeting became a prominent part of the political agenda with the Bottom-up Budgeting (BUB) program spearheaded by former President Benigno Aquino, Jr. in 2012. Civil society organizations (CSOs) were mostly involved in identifying projects to prioritize for achieving the goal of poverty reduction in the local government unit (LGU) (Franklin and </w:t>
      </w:r>
      <w:proofErr w:type="spellStart"/>
      <w:r w:rsidRPr="00871E74">
        <w:rPr>
          <w:rFonts w:cs="Arial"/>
          <w:sz w:val="17"/>
          <w:lang w:val="en-US"/>
        </w:rPr>
        <w:t>Ebdon</w:t>
      </w:r>
      <w:proofErr w:type="spellEnd"/>
      <w:r w:rsidRPr="00871E74">
        <w:rPr>
          <w:rFonts w:cs="Arial"/>
          <w:sz w:val="17"/>
          <w:lang w:val="en-US"/>
        </w:rPr>
        <w:t xml:space="preserve"> 2020). Neither CSOs nor the individuals they represented did not have power to influence actual allocations of funds. Though the BUB program itself did not continue after Aquino’s term, participatory budgeting has been taken up in different LGUs such as Naga City and more recently, Quezon City. The implementation of participatory budgeting in the Philippines continues to be indirect and representative, using CSOs as the representative of the citizenry at large.</w:t>
      </w:r>
    </w:p>
    <w:p w14:paraId="5C81E516" w14:textId="77777777" w:rsidR="005A2244" w:rsidRPr="00871E74" w:rsidRDefault="00000000" w:rsidP="00DF14E0">
      <w:pPr>
        <w:spacing w:after="40" w:line="360" w:lineRule="auto"/>
        <w:jc w:val="both"/>
        <w:rPr>
          <w:rFonts w:cs="Arial"/>
          <w:lang w:val="en-US"/>
        </w:rPr>
      </w:pPr>
      <w:r w:rsidRPr="00871E74">
        <w:rPr>
          <w:rFonts w:cs="Arial"/>
          <w:sz w:val="17"/>
          <w:lang w:val="en-US"/>
        </w:rPr>
        <w:t>In this paper, I argue that indirect and representative participatory budgeting brings distinct benefits for democratic engagement and community building that classic participatory budgeting does not necessarily guarantee. Specifically, I show how indirect and representative participatory budgeting (</w:t>
      </w:r>
      <w:proofErr w:type="spellStart"/>
      <w:r w:rsidRPr="00871E74">
        <w:rPr>
          <w:rFonts w:cs="Arial"/>
          <w:sz w:val="17"/>
          <w:lang w:val="en-US"/>
        </w:rPr>
        <w:t>i</w:t>
      </w:r>
      <w:proofErr w:type="spellEnd"/>
      <w:r w:rsidRPr="00871E74">
        <w:rPr>
          <w:rFonts w:cs="Arial"/>
          <w:sz w:val="17"/>
          <w:lang w:val="en-US"/>
        </w:rPr>
        <w:t xml:space="preserve">) enables effective democratic representation and leadership by ordinary citizens through facilitation between informal contexts and formal institutions, and (ii) fosters solidarity between different sectors in society. In particular, I look at the work that people’s organizations (POs) such as </w:t>
      </w:r>
      <w:proofErr w:type="spellStart"/>
      <w:r w:rsidRPr="00871E74">
        <w:rPr>
          <w:rFonts w:cs="Arial"/>
          <w:sz w:val="17"/>
          <w:lang w:val="en-US"/>
        </w:rPr>
        <w:t>WeSolve</w:t>
      </w:r>
      <w:proofErr w:type="spellEnd"/>
      <w:r w:rsidRPr="00871E74">
        <w:rPr>
          <w:rFonts w:cs="Arial"/>
          <w:sz w:val="17"/>
          <w:lang w:val="en-US"/>
        </w:rPr>
        <w:t xml:space="preserve"> foundation, the People’s Budget Coalition, and the Young Budget Leaders have done in advocating for marginalized communities in the budgetary process of different local government units in the Philippines. I then provide a normative grounding for indirect and representative participatory budgeting using Dewey’s theory of democracy as an ideal for associated life (Dewey 2012). I conclude that even classic direct-</w:t>
      </w:r>
    </w:p>
    <w:p w14:paraId="7E3E76BF" w14:textId="77777777" w:rsidR="005A2244" w:rsidRPr="00871E74" w:rsidRDefault="00000000" w:rsidP="00DF14E0">
      <w:pPr>
        <w:spacing w:after="40" w:line="360" w:lineRule="auto"/>
        <w:jc w:val="both"/>
        <w:rPr>
          <w:rFonts w:cs="Arial"/>
          <w:lang w:val="en-US"/>
        </w:rPr>
      </w:pPr>
      <w:r w:rsidRPr="00871E74">
        <w:rPr>
          <w:rFonts w:cs="Arial"/>
          <w:sz w:val="17"/>
          <w:lang w:val="en-US"/>
        </w:rPr>
        <w:t>democratic implementations of participatory budgeting can incorporate elements of indirect and representative participatory budgeting to make these processes more democratic.</w:t>
      </w:r>
    </w:p>
    <w:p w14:paraId="3D5E83F5" w14:textId="77777777" w:rsidR="005A2244" w:rsidRPr="00871E74" w:rsidRDefault="00000000" w:rsidP="00DF14E0">
      <w:pPr>
        <w:keepNext/>
        <w:spacing w:after="20" w:line="360" w:lineRule="auto"/>
        <w:jc w:val="both"/>
        <w:rPr>
          <w:rFonts w:cs="Arial"/>
          <w:lang w:val="en-US"/>
        </w:rPr>
      </w:pPr>
      <w:r w:rsidRPr="00871E74">
        <w:rPr>
          <w:rFonts w:cs="Arial"/>
          <w:b/>
          <w:sz w:val="17"/>
          <w:lang w:val="en-US"/>
        </w:rPr>
        <w:t>References</w:t>
      </w:r>
    </w:p>
    <w:p w14:paraId="18C81A58" w14:textId="140CA7D5" w:rsidR="005A2244" w:rsidRPr="00871E74" w:rsidRDefault="00000000" w:rsidP="00DF14E0">
      <w:pPr>
        <w:spacing w:after="20" w:line="360" w:lineRule="auto"/>
        <w:jc w:val="both"/>
        <w:rPr>
          <w:rFonts w:cs="Arial"/>
          <w:lang w:val="en-US"/>
        </w:rPr>
      </w:pPr>
      <w:r w:rsidRPr="00871E74">
        <w:rPr>
          <w:rFonts w:cs="Arial"/>
          <w:sz w:val="15"/>
          <w:lang w:val="en-US"/>
        </w:rPr>
        <w:t>Bartocci, Luca, Giuseppe Grossi, Sara Giovanna Mauro, and Carol Ebdon. "The journey of participatory budgeting: a systematic literature review and future research directions." International Review of Administrative Sciences 89, no. 3 (2023): 757-774.</w:t>
      </w:r>
      <w:r w:rsidR="002F0F96">
        <w:rPr>
          <w:rFonts w:cs="Arial"/>
          <w:lang w:val="en-US"/>
        </w:rPr>
        <w:t xml:space="preserve"> </w:t>
      </w:r>
      <w:r w:rsidRPr="00871E74">
        <w:rPr>
          <w:rFonts w:cs="Arial"/>
          <w:sz w:val="15"/>
          <w:lang w:val="en-US"/>
        </w:rPr>
        <w:t>Dewey, John, and Melvin L. Rogers. The Public and its Problems: An Essay in Political Inquiry. Penn State Press, 2012 (1927).</w:t>
      </w:r>
      <w:r w:rsidR="002F0F96">
        <w:rPr>
          <w:rFonts w:cs="Arial"/>
          <w:lang w:val="en-US"/>
        </w:rPr>
        <w:t xml:space="preserve"> </w:t>
      </w:r>
      <w:r w:rsidRPr="00871E74">
        <w:rPr>
          <w:rFonts w:cs="Arial"/>
          <w:sz w:val="15"/>
          <w:lang w:val="en-US"/>
        </w:rPr>
        <w:t>Franklin, Aimee L., and Carol Ebdon. "Participatory budgeting in the Philippines." Chinese Public Administration Review 11, no. 1 (2020): 60-74.</w:t>
      </w:r>
      <w:r w:rsidR="002F0F96">
        <w:rPr>
          <w:rFonts w:cs="Arial"/>
          <w:lang w:val="en-US"/>
        </w:rPr>
        <w:t xml:space="preserve"> </w:t>
      </w:r>
      <w:r w:rsidRPr="00871E74">
        <w:rPr>
          <w:rFonts w:cs="Arial"/>
          <w:sz w:val="15"/>
          <w:lang w:val="en-US"/>
        </w:rPr>
        <w:t>Open Government Partnership. “Enhancing Public Participation in the Creation of the Annual Budget of Quezon City Government Departments and Offices (PHQZT0001).” https://www.opengovpartnership.org/members/quezon-city-</w:t>
      </w:r>
    </w:p>
    <w:p w14:paraId="7F5AAD22" w14:textId="77777777" w:rsidR="002F0F96" w:rsidRPr="004B0BA5" w:rsidRDefault="002F0F96" w:rsidP="00DF14E0">
      <w:pPr>
        <w:keepNext/>
        <w:spacing w:after="20" w:line="360" w:lineRule="auto"/>
        <w:jc w:val="both"/>
        <w:rPr>
          <w:rFonts w:cs="Arial"/>
          <w:b/>
          <w:sz w:val="18"/>
          <w:lang w:val="en-US"/>
        </w:rPr>
      </w:pPr>
    </w:p>
    <w:p w14:paraId="4FA754D8" w14:textId="79C46B70" w:rsidR="005A2244" w:rsidRPr="00DF14E0" w:rsidRDefault="00000000" w:rsidP="00DF14E0">
      <w:pPr>
        <w:keepNext/>
        <w:spacing w:after="20" w:line="360" w:lineRule="auto"/>
        <w:jc w:val="both"/>
        <w:rPr>
          <w:rFonts w:cs="Arial"/>
        </w:rPr>
      </w:pPr>
      <w:r w:rsidRPr="00DF14E0">
        <w:rPr>
          <w:rFonts w:cs="Arial"/>
          <w:b/>
          <w:sz w:val="18"/>
        </w:rPr>
        <w:t xml:space="preserve">Javier </w:t>
      </w:r>
      <w:proofErr w:type="spellStart"/>
      <w:r w:rsidRPr="00DF14E0">
        <w:rPr>
          <w:rFonts w:cs="Arial"/>
          <w:b/>
          <w:sz w:val="18"/>
        </w:rPr>
        <w:t>Cembrano</w:t>
      </w:r>
      <w:proofErr w:type="spellEnd"/>
      <w:r w:rsidRPr="00DF14E0">
        <w:rPr>
          <w:rFonts w:cs="Arial"/>
          <w:b/>
          <w:sz w:val="18"/>
        </w:rPr>
        <w:t xml:space="preserve"> (</w:t>
      </w:r>
      <w:proofErr w:type="spellStart"/>
      <w:r w:rsidRPr="00DF14E0">
        <w:rPr>
          <w:rFonts w:cs="Arial"/>
          <w:b/>
          <w:sz w:val="18"/>
        </w:rPr>
        <w:t>Universidad</w:t>
      </w:r>
      <w:proofErr w:type="spellEnd"/>
      <w:r w:rsidRPr="00DF14E0">
        <w:rPr>
          <w:rFonts w:cs="Arial"/>
          <w:b/>
          <w:sz w:val="18"/>
        </w:rPr>
        <w:t xml:space="preserve"> de Chile), Rupert Freeman (University of Virginia), </w:t>
      </w:r>
      <w:proofErr w:type="spellStart"/>
      <w:r w:rsidRPr="00DF14E0">
        <w:rPr>
          <w:rFonts w:cs="Arial"/>
          <w:b/>
          <w:sz w:val="18"/>
        </w:rPr>
        <w:t>Ulrike</w:t>
      </w:r>
      <w:proofErr w:type="spellEnd"/>
      <w:r w:rsidRPr="00DF14E0">
        <w:rPr>
          <w:rFonts w:cs="Arial"/>
          <w:b/>
          <w:sz w:val="18"/>
        </w:rPr>
        <w:t xml:space="preserve"> Schmidt-</w:t>
      </w:r>
      <w:proofErr w:type="spellStart"/>
      <w:r w:rsidRPr="00DF14E0">
        <w:rPr>
          <w:rFonts w:cs="Arial"/>
          <w:b/>
          <w:sz w:val="18"/>
        </w:rPr>
        <w:t>Kraepelin</w:t>
      </w:r>
      <w:proofErr w:type="spellEnd"/>
      <w:r w:rsidRPr="00DF14E0">
        <w:rPr>
          <w:rFonts w:cs="Arial"/>
          <w:b/>
          <w:sz w:val="18"/>
        </w:rPr>
        <w:t xml:space="preserve"> (Technische Universiteit Eindhoven), Markus </w:t>
      </w:r>
      <w:proofErr w:type="spellStart"/>
      <w:r w:rsidRPr="00DF14E0">
        <w:rPr>
          <w:rFonts w:cs="Arial"/>
          <w:b/>
          <w:sz w:val="18"/>
        </w:rPr>
        <w:t>Utke</w:t>
      </w:r>
      <w:proofErr w:type="spellEnd"/>
      <w:r w:rsidRPr="00DF14E0">
        <w:rPr>
          <w:rFonts w:cs="Arial"/>
          <w:b/>
          <w:sz w:val="18"/>
        </w:rPr>
        <w:t xml:space="preserve"> (Technische Universiteit Eindhoven)</w:t>
      </w:r>
    </w:p>
    <w:p w14:paraId="616EC91E"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Social Welfare in Budget Aggregation</w:t>
      </w:r>
    </w:p>
    <w:p w14:paraId="49C67534"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We study budget aggregation under -utilities, a model for collective decision making in which agents with heterogeneous preferences must allocate a public budget across a set of alternatives. Each agent reports their preferred allocation, and a mechanism selects an allocation. Early work focused on social welfare maximization, which in this setting admits truthful mechanisms, but may underrepresent minority groups, motivating the study of proportional mechanisms. However, the dominant proportionality notion, single-minded proportionality, is weak, as it only constrains outcomes when agents hold extreme preferences. To better understand proportionality and its interaction with welfare and truthfulness, we address three questions. First, how much welfare must be sacrificed to achieve proportionality? We formalize this via the price of proportionality, the best worst-case welfare ratio between a proportional mechanism and Util, the welfare-maximizing mechanism. We introduce a new single-minded proportional and truthful mechanism, </w:t>
      </w:r>
      <w:proofErr w:type="spellStart"/>
      <w:r w:rsidRPr="00871E74">
        <w:rPr>
          <w:rFonts w:cs="Arial"/>
          <w:sz w:val="17"/>
          <w:lang w:val="en-US"/>
        </w:rPr>
        <w:t>UtilProp</w:t>
      </w:r>
      <w:proofErr w:type="spellEnd"/>
      <w:r w:rsidRPr="00871E74">
        <w:rPr>
          <w:rFonts w:cs="Arial"/>
          <w:sz w:val="17"/>
          <w:lang w:val="en-US"/>
        </w:rPr>
        <w:t xml:space="preserve">, and show that it achieves the optimal worst-case ratio. Second, how do proportional mechanisms compare in terms of welfare? We define an instance-wise welfare dominance relation and use it to compare mechanisms from the literature. In particular, we show that </w:t>
      </w:r>
      <w:proofErr w:type="spellStart"/>
      <w:r w:rsidRPr="00871E74">
        <w:rPr>
          <w:rFonts w:cs="Arial"/>
          <w:sz w:val="17"/>
          <w:lang w:val="en-US"/>
        </w:rPr>
        <w:t>UtilProp</w:t>
      </w:r>
      <w:proofErr w:type="spellEnd"/>
      <w:r w:rsidRPr="00871E74">
        <w:rPr>
          <w:rFonts w:cs="Arial"/>
          <w:sz w:val="17"/>
          <w:lang w:val="en-US"/>
        </w:rPr>
        <w:t xml:space="preserve"> welfare-dominates all previously known single-minded proportional and truthful mechanisms. Third, can stronger notions of proportionality </w:t>
      </w:r>
      <w:r w:rsidRPr="00871E74">
        <w:rPr>
          <w:rFonts w:cs="Arial"/>
          <w:sz w:val="17"/>
          <w:lang w:val="en-US"/>
        </w:rPr>
        <w:lastRenderedPageBreak/>
        <w:t xml:space="preserve">be achieved without compromising welfare guarantees? We answer this question in the affirmative by studying decomposability and proposing </w:t>
      </w:r>
      <w:proofErr w:type="spellStart"/>
      <w:r w:rsidRPr="00871E74">
        <w:rPr>
          <w:rFonts w:cs="Arial"/>
          <w:sz w:val="17"/>
          <w:lang w:val="en-US"/>
        </w:rPr>
        <w:t>GreedyDecomp</w:t>
      </w:r>
      <w:proofErr w:type="spellEnd"/>
      <w:r w:rsidRPr="00871E74">
        <w:rPr>
          <w:rFonts w:cs="Arial"/>
          <w:sz w:val="17"/>
          <w:lang w:val="en-US"/>
        </w:rPr>
        <w:t xml:space="preserve">, a decomposable mechanism with optimal worst-case welfare ratio. We further show that computing the welfare-dominant decomposable mechanism, </w:t>
      </w:r>
      <w:proofErr w:type="spellStart"/>
      <w:r w:rsidRPr="00871E74">
        <w:rPr>
          <w:rFonts w:cs="Arial"/>
          <w:sz w:val="17"/>
          <w:lang w:val="en-US"/>
        </w:rPr>
        <w:t>UtilDecomp</w:t>
      </w:r>
      <w:proofErr w:type="spellEnd"/>
      <w:r w:rsidRPr="00871E74">
        <w:rPr>
          <w:rFonts w:cs="Arial"/>
          <w:sz w:val="17"/>
          <w:lang w:val="en-US"/>
        </w:rPr>
        <w:t xml:space="preserve">, is NP-hard, and that </w:t>
      </w:r>
      <w:proofErr w:type="spellStart"/>
      <w:r w:rsidRPr="00871E74">
        <w:rPr>
          <w:rFonts w:cs="Arial"/>
          <w:sz w:val="17"/>
          <w:lang w:val="en-US"/>
        </w:rPr>
        <w:t>GreedyDecomp</w:t>
      </w:r>
      <w:proofErr w:type="spellEnd"/>
      <w:r w:rsidRPr="00871E74">
        <w:rPr>
          <w:rFonts w:cs="Arial"/>
          <w:sz w:val="17"/>
          <w:lang w:val="en-US"/>
        </w:rPr>
        <w:t xml:space="preserve"> provides a 2-approximation to </w:t>
      </w:r>
      <w:proofErr w:type="spellStart"/>
      <w:r w:rsidRPr="00871E74">
        <w:rPr>
          <w:rFonts w:cs="Arial"/>
          <w:sz w:val="17"/>
          <w:lang w:val="en-US"/>
        </w:rPr>
        <w:t>UtilDecomp</w:t>
      </w:r>
      <w:proofErr w:type="spellEnd"/>
      <w:r w:rsidRPr="00871E74">
        <w:rPr>
          <w:rFonts w:cs="Arial"/>
          <w:sz w:val="17"/>
          <w:lang w:val="en-US"/>
        </w:rPr>
        <w:t xml:space="preserve"> in terms of welfare.</w:t>
      </w:r>
    </w:p>
    <w:p w14:paraId="48A898C2" w14:textId="77777777" w:rsidR="002F0F96" w:rsidRDefault="002F0F96" w:rsidP="00DF14E0">
      <w:pPr>
        <w:keepNext/>
        <w:spacing w:before="80" w:after="60" w:line="360" w:lineRule="auto"/>
        <w:jc w:val="both"/>
        <w:rPr>
          <w:rFonts w:cs="Arial"/>
          <w:b/>
          <w:sz w:val="21"/>
          <w:lang w:val="en-US"/>
        </w:rPr>
      </w:pPr>
    </w:p>
    <w:p w14:paraId="5D8B33D1" w14:textId="7189A5C0" w:rsidR="005A2244" w:rsidRPr="00871E74" w:rsidRDefault="00000000" w:rsidP="00775D17">
      <w:pPr>
        <w:keepNext/>
        <w:pBdr>
          <w:top w:val="single" w:sz="4" w:space="1" w:color="auto"/>
          <w:left w:val="single" w:sz="4" w:space="4" w:color="auto"/>
          <w:bottom w:val="single" w:sz="4" w:space="1" w:color="auto"/>
          <w:right w:val="single" w:sz="4" w:space="4" w:color="auto"/>
        </w:pBdr>
        <w:spacing w:before="80" w:after="60" w:line="360" w:lineRule="auto"/>
        <w:jc w:val="both"/>
        <w:rPr>
          <w:rFonts w:cs="Arial"/>
          <w:lang w:val="en-US"/>
        </w:rPr>
      </w:pPr>
      <w:r w:rsidRPr="00871E74">
        <w:rPr>
          <w:rFonts w:cs="Arial"/>
          <w:b/>
          <w:sz w:val="21"/>
          <w:lang w:val="en-US"/>
        </w:rPr>
        <w:t>Contributed Talks III: Non-Standard Preference Aggregation</w:t>
      </w:r>
    </w:p>
    <w:p w14:paraId="404FB04B" w14:textId="473B90F4" w:rsidR="005A2244" w:rsidRPr="00DF14E0" w:rsidRDefault="00000000" w:rsidP="00DF14E0">
      <w:pPr>
        <w:keepNext/>
        <w:spacing w:after="20" w:line="360" w:lineRule="auto"/>
        <w:jc w:val="both"/>
        <w:rPr>
          <w:rFonts w:cs="Arial"/>
        </w:rPr>
      </w:pPr>
      <w:r w:rsidRPr="00DF14E0">
        <w:rPr>
          <w:rFonts w:cs="Arial"/>
          <w:b/>
          <w:sz w:val="18"/>
        </w:rPr>
        <w:t xml:space="preserve">Patrick </w:t>
      </w:r>
      <w:proofErr w:type="spellStart"/>
      <w:r w:rsidRPr="00DF14E0">
        <w:rPr>
          <w:rFonts w:cs="Arial"/>
          <w:b/>
          <w:sz w:val="18"/>
        </w:rPr>
        <w:t>Lederer</w:t>
      </w:r>
      <w:proofErr w:type="spellEnd"/>
      <w:r w:rsidR="002F0F96">
        <w:rPr>
          <w:rFonts w:cs="Arial"/>
          <w:b/>
          <w:sz w:val="18"/>
        </w:rPr>
        <w:t xml:space="preserve"> &amp; </w:t>
      </w:r>
      <w:proofErr w:type="spellStart"/>
      <w:r w:rsidR="002F0F96">
        <w:rPr>
          <w:rFonts w:cs="Arial"/>
          <w:b/>
          <w:sz w:val="18"/>
        </w:rPr>
        <w:t>Ulle</w:t>
      </w:r>
      <w:proofErr w:type="spellEnd"/>
      <w:r w:rsidR="002F0F96">
        <w:rPr>
          <w:rFonts w:cs="Arial"/>
          <w:b/>
          <w:sz w:val="18"/>
        </w:rPr>
        <w:t xml:space="preserve"> </w:t>
      </w:r>
      <w:proofErr w:type="spellStart"/>
      <w:r w:rsidR="002F0F96">
        <w:rPr>
          <w:rFonts w:cs="Arial"/>
          <w:b/>
          <w:sz w:val="18"/>
        </w:rPr>
        <w:t>Endriss</w:t>
      </w:r>
      <w:proofErr w:type="spellEnd"/>
      <w:r w:rsidRPr="00DF14E0">
        <w:rPr>
          <w:rFonts w:cs="Arial"/>
          <w:b/>
          <w:sz w:val="18"/>
        </w:rPr>
        <w:t xml:space="preserve"> (Universiteit van Amsterdam)</w:t>
      </w:r>
    </w:p>
    <w:p w14:paraId="4C2AFF24"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Weighted Kemeny Rules for Aggregating Pairwise Preferences</w:t>
      </w:r>
    </w:p>
    <w:p w14:paraId="761A82BC"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In rank aggregation, the goal is to compute a collective ranking over some alternatives based on the voters' preferences over these alternatives. In social choice theory, this problem is commonly formalized via social preference functions (SPFs), which map the voters' preferences, usually assumed to be strict and complete rankings, to a non-empty set of output rankings. However, in many modern applications of rank aggregation, such as crowdsourcing or digital democracy platforms, the reported preferences are typically much sparser: voters only report a handful of pairwise comparisons instead of full rankings. Motivated by this observation, we study SPFs under pairwise preference relations, i.e., voters are allowed to report arbitrary antisymmetric binary relations that may be incomplete or cyclic. For this setting, we study the class of weighted Kemeny rules, which generalize the well-known Kemeny rule by weighting the voters based on how many comparisons between alternatives they report. As our main contribution, we axiomatically characterize this class of SPFs as well as two of its members by relying on a population-consistency axiom called reinforcement and variants of Condorcet consistency, thereby transferring the seminal characterization of the Kemeny rule under strict preferences by Young and </w:t>
      </w:r>
      <w:proofErr w:type="spellStart"/>
      <w:r w:rsidRPr="00871E74">
        <w:rPr>
          <w:rFonts w:cs="Arial"/>
          <w:sz w:val="17"/>
          <w:lang w:val="en-US"/>
        </w:rPr>
        <w:t>Levenglick</w:t>
      </w:r>
      <w:proofErr w:type="spellEnd"/>
      <w:r w:rsidRPr="00871E74">
        <w:rPr>
          <w:rFonts w:cs="Arial"/>
          <w:sz w:val="17"/>
          <w:lang w:val="en-US"/>
        </w:rPr>
        <w:t xml:space="preserve"> to our pairwise preferences. In more detail, we first show that the standard Kemeny rule, which weights all voters equally regardless of their numbers of reported comparisons, is characterized by reinforcement, neutrality, continuity, and local Condorcet consistency. The latter axiom requires that, if an alternative  is ranked directly ahead of another alternative  in an output ranking, at least as many voters must prefer  to  as vice versa, so this result can be seen as a direct analog of the result by Young-</w:t>
      </w:r>
      <w:proofErr w:type="spellStart"/>
      <w:r w:rsidRPr="00871E74">
        <w:rPr>
          <w:rFonts w:cs="Arial"/>
          <w:sz w:val="17"/>
          <w:lang w:val="en-US"/>
        </w:rPr>
        <w:t>Levenglick</w:t>
      </w:r>
      <w:proofErr w:type="spellEnd"/>
      <w:r w:rsidRPr="00871E74">
        <w:rPr>
          <w:rFonts w:cs="Arial"/>
          <w:sz w:val="17"/>
          <w:lang w:val="en-US"/>
        </w:rPr>
        <w:t xml:space="preserve"> characterization. However, we observe that local Condorcet consistency seems less compelling under pairwise preferences than under strict ones, since it grants more influence to voters who report more pairwise comparisons. We thus weaken this axiom to apply only when all voters report the same number of pairwise comparisons, resulting in the axiom of balanced local Condorcet consistency. Moreover, when replacing local Condorcet consistency with this weaker condition in the characterization of the standard Kemeny rule, we show that the given axioms precisely characterize the class of weighted Kemeny rules. Third, we characterize the normalized Kemeny rule, which weights voters inversely to their number of reported comparisons and thus equalizes the influence each voter exerts. Specifically, we show that this SPF is the only weighted Kemeny rule that never chooses a ranking with which more than half of the voters fully disagree. Furthermore, we show that, under pairwise preferences, reinforcement is incompatible with a ranking-level Condorcet consistency notion. Finally, we conduct experiments with both synthetic data and real-world data from a large-scale digital democracy experiment to understand the behavior of the standard and normalized Kemeny rule in practice. These experiments suggest that the standard Kemeny rule is indeed biased towards voters with large preference relations, whereas the normalized Kemeny rule mitigates this bias.</w:t>
      </w:r>
    </w:p>
    <w:p w14:paraId="2055872F" w14:textId="77777777" w:rsidR="002F0F96" w:rsidRDefault="002F0F96" w:rsidP="00DF14E0">
      <w:pPr>
        <w:keepNext/>
        <w:spacing w:after="20" w:line="360" w:lineRule="auto"/>
        <w:jc w:val="both"/>
        <w:rPr>
          <w:rFonts w:cs="Arial"/>
          <w:b/>
          <w:sz w:val="18"/>
          <w:lang w:val="en-US"/>
        </w:rPr>
      </w:pPr>
    </w:p>
    <w:p w14:paraId="72165989" w14:textId="6E92C297" w:rsidR="005A2244" w:rsidRPr="004E5FB3" w:rsidRDefault="00000000" w:rsidP="00DF14E0">
      <w:pPr>
        <w:keepNext/>
        <w:spacing w:after="20" w:line="360" w:lineRule="auto"/>
        <w:jc w:val="both"/>
        <w:rPr>
          <w:rFonts w:cs="Arial"/>
          <w:b/>
          <w:sz w:val="18"/>
          <w:lang w:val="en-BE"/>
        </w:rPr>
      </w:pPr>
      <w:r w:rsidRPr="00871E74">
        <w:rPr>
          <w:rFonts w:cs="Arial"/>
          <w:b/>
          <w:sz w:val="18"/>
          <w:lang w:val="en-US"/>
        </w:rPr>
        <w:t>Stan Cheung (</w:t>
      </w:r>
      <w:r w:rsidR="004E5FB3" w:rsidRPr="004E5FB3">
        <w:rPr>
          <w:rFonts w:cs="Arial"/>
          <w:b/>
          <w:sz w:val="18"/>
          <w:lang w:val="en-BE"/>
        </w:rPr>
        <w:t>Queen Mary University of London</w:t>
      </w:r>
      <w:r w:rsidRPr="00871E74">
        <w:rPr>
          <w:rFonts w:cs="Arial"/>
          <w:b/>
          <w:sz w:val="18"/>
          <w:lang w:val="en-US"/>
        </w:rPr>
        <w:t>)</w:t>
      </w:r>
    </w:p>
    <w:p w14:paraId="5E75C48B"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Social Welfare Equilibrium</w:t>
      </w:r>
    </w:p>
    <w:p w14:paraId="51A1E8E4" w14:textId="77777777" w:rsidR="005A2244" w:rsidRPr="00871E74" w:rsidRDefault="00000000" w:rsidP="00DF14E0">
      <w:pPr>
        <w:spacing w:after="40" w:line="360" w:lineRule="auto"/>
        <w:jc w:val="both"/>
        <w:rPr>
          <w:rFonts w:cs="Arial"/>
          <w:lang w:val="en-US"/>
        </w:rPr>
      </w:pPr>
      <w:r w:rsidRPr="00871E74">
        <w:rPr>
          <w:rFonts w:cs="Arial"/>
          <w:sz w:val="17"/>
          <w:lang w:val="en-US"/>
        </w:rPr>
        <w:t>We model preferences that can endogenously respond to the policies chosen by a policy maker, as well as expectations about the preferences of other individuals. Endogenous preferences open up both challenges and opportunities for policy making. Policies that tighten the incentive constraints faced by policy makers can severely contract the options available to them. But the converse can greatly expand these options. We propose the concept of a 'social welfare equilibrium' for policy evaluation under endogenous preferences. We show that social welfare equilibria offer a novel way to compare social welfare functions. We illustrate this in an application to optimal income taxation. We find that more inequality-averse social welfare functions induce more efficient social welfare equilibria, suggesting that equality and efficiency, despite often being treated as substitutes, can be complements when preferences are endogenous.</w:t>
      </w:r>
    </w:p>
    <w:p w14:paraId="22F1B9C3" w14:textId="77777777" w:rsidR="002F0F96" w:rsidRDefault="002F0F96" w:rsidP="00DF14E0">
      <w:pPr>
        <w:keepNext/>
        <w:spacing w:before="80" w:after="60" w:line="360" w:lineRule="auto"/>
        <w:jc w:val="both"/>
        <w:rPr>
          <w:rFonts w:cs="Arial"/>
          <w:b/>
          <w:sz w:val="21"/>
          <w:lang w:val="en-US"/>
        </w:rPr>
      </w:pPr>
    </w:p>
    <w:p w14:paraId="243E529A" w14:textId="77777777" w:rsidR="002F0F96" w:rsidRDefault="002F0F96" w:rsidP="00DF14E0">
      <w:pPr>
        <w:keepNext/>
        <w:spacing w:before="80" w:after="60" w:line="360" w:lineRule="auto"/>
        <w:jc w:val="both"/>
        <w:rPr>
          <w:rFonts w:cs="Arial"/>
          <w:b/>
          <w:sz w:val="21"/>
          <w:lang w:val="en-US"/>
        </w:rPr>
      </w:pPr>
    </w:p>
    <w:p w14:paraId="4B705C40" w14:textId="72E4C451" w:rsidR="005A2244" w:rsidRPr="00871E74" w:rsidRDefault="00000000" w:rsidP="00775D17">
      <w:pPr>
        <w:keepNext/>
        <w:pBdr>
          <w:top w:val="single" w:sz="4" w:space="1" w:color="auto"/>
          <w:left w:val="single" w:sz="4" w:space="4" w:color="auto"/>
          <w:bottom w:val="single" w:sz="4" w:space="1" w:color="auto"/>
          <w:right w:val="single" w:sz="4" w:space="4" w:color="auto"/>
        </w:pBdr>
        <w:spacing w:before="80" w:after="60" w:line="360" w:lineRule="auto"/>
        <w:jc w:val="both"/>
        <w:rPr>
          <w:rFonts w:cs="Arial"/>
          <w:lang w:val="en-US"/>
        </w:rPr>
      </w:pPr>
      <w:r w:rsidRPr="00871E74">
        <w:rPr>
          <w:rFonts w:cs="Arial"/>
          <w:b/>
          <w:sz w:val="21"/>
          <w:lang w:val="en-US"/>
        </w:rPr>
        <w:t xml:space="preserve">Contributed Talks IV: Deliberation in the </w:t>
      </w:r>
      <w:r w:rsidR="00775D17">
        <w:rPr>
          <w:rFonts w:cs="Arial"/>
          <w:b/>
          <w:sz w:val="21"/>
          <w:lang w:val="en-US"/>
        </w:rPr>
        <w:t>W</w:t>
      </w:r>
      <w:r w:rsidRPr="00871E74">
        <w:rPr>
          <w:rFonts w:cs="Arial"/>
          <w:b/>
          <w:sz w:val="21"/>
          <w:lang w:val="en-US"/>
        </w:rPr>
        <w:t>ild</w:t>
      </w:r>
    </w:p>
    <w:p w14:paraId="308FF2E5" w14:textId="77777777" w:rsidR="005A2244" w:rsidRPr="00871E74" w:rsidRDefault="00000000" w:rsidP="00DF14E0">
      <w:pPr>
        <w:keepNext/>
        <w:spacing w:after="20" w:line="360" w:lineRule="auto"/>
        <w:jc w:val="both"/>
        <w:rPr>
          <w:rFonts w:cs="Arial"/>
          <w:lang w:val="fr-BE"/>
        </w:rPr>
      </w:pPr>
      <w:r w:rsidRPr="00871E74">
        <w:rPr>
          <w:rFonts w:cs="Arial"/>
          <w:b/>
          <w:sz w:val="18"/>
          <w:lang w:val="fr-BE"/>
        </w:rPr>
        <w:t>Salim Hafid, Manon Berriche, Jean-Philippe Cointet (Institut d'Etudes Politiques de Paris)</w:t>
      </w:r>
    </w:p>
    <w:p w14:paraId="1D660765"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Whose Opinions Get Selected? A Study on How Algorithms Shape Online Deliberation</w:t>
      </w:r>
    </w:p>
    <w:p w14:paraId="3B6AB00E" w14:textId="77777777" w:rsidR="005A2244" w:rsidRPr="00871E74" w:rsidRDefault="00000000" w:rsidP="00DF14E0">
      <w:pPr>
        <w:spacing w:after="40" w:line="360" w:lineRule="auto"/>
        <w:jc w:val="both"/>
        <w:rPr>
          <w:rFonts w:cs="Arial"/>
          <w:lang w:val="en-US"/>
        </w:rPr>
      </w:pPr>
      <w:r w:rsidRPr="00871E74">
        <w:rPr>
          <w:rFonts w:cs="Arial"/>
          <w:sz w:val="17"/>
          <w:lang w:val="en-US"/>
        </w:rPr>
        <w:t>Deliberative democracy argues that proper deliberation yields rational collective outcomes (Habermas, 2015; Rawls, 1997). The essence of democratic legitimacy is seen as the ”capacity of those affected by a collective decision to deliberate in the production of that decision” (</w:t>
      </w:r>
      <w:proofErr w:type="spellStart"/>
      <w:r w:rsidRPr="00871E74">
        <w:rPr>
          <w:rFonts w:cs="Arial"/>
          <w:sz w:val="17"/>
          <w:lang w:val="en-US"/>
        </w:rPr>
        <w:t>Dryzek</w:t>
      </w:r>
      <w:proofErr w:type="spellEnd"/>
      <w:r w:rsidRPr="00871E74">
        <w:rPr>
          <w:rFonts w:cs="Arial"/>
          <w:sz w:val="17"/>
          <w:lang w:val="en-US"/>
        </w:rPr>
        <w:t xml:space="preserve"> &amp; List, 2003). To bring such collective decision-making to the masses, platforms for participatory democracy run online deliberations for various use-cases such as peacebuilding, participatory budgeting, and public policy design (Polis (Small et al., 2021), </w:t>
      </w:r>
      <w:proofErr w:type="spellStart"/>
      <w:r w:rsidRPr="00871E74">
        <w:rPr>
          <w:rFonts w:cs="Arial"/>
          <w:sz w:val="17"/>
          <w:lang w:val="en-US"/>
        </w:rPr>
        <w:t>Remesh</w:t>
      </w:r>
      <w:proofErr w:type="spellEnd"/>
      <w:r w:rsidRPr="00871E74">
        <w:rPr>
          <w:rFonts w:cs="Arial"/>
          <w:sz w:val="17"/>
          <w:lang w:val="en-US"/>
        </w:rPr>
        <w:t xml:space="preserve"> (Konya et al., 2022)). However, such processes increasingly involve large numbers of free-form contributions (e.g., opinions, proposals) from diverse participants (Zhu et al., 2025). It thus becomes impossible for participants to process all inputs during deliberation. In this context, a crucial task is to select a small set of opinions that faithfully represents participants, and that can serve as a digestible input. This representative subset is typically selected before, during, and after the process by human facilitators, and is shared with participants or experts in order to prepare the next discussion cycle, or used to produce reports for decision-makers or for the general public. However, while essential for all stakeholders, producing such representative subsets is resource-intensive and therefore costly to scale-up (</w:t>
      </w:r>
      <w:proofErr w:type="spellStart"/>
      <w:r w:rsidRPr="00871E74">
        <w:rPr>
          <w:rFonts w:cs="Arial"/>
          <w:sz w:val="17"/>
          <w:lang w:val="en-US"/>
        </w:rPr>
        <w:t>Landemore</w:t>
      </w:r>
      <w:proofErr w:type="spellEnd"/>
      <w:r w:rsidRPr="00871E74">
        <w:rPr>
          <w:rFonts w:cs="Arial"/>
          <w:sz w:val="17"/>
          <w:lang w:val="en-US"/>
        </w:rPr>
        <w:t>, 2020; Fishkin et al., 2019).</w:t>
      </w:r>
    </w:p>
    <w:p w14:paraId="06F0DFEE" w14:textId="77777777" w:rsidR="005A2244" w:rsidRPr="00871E74" w:rsidRDefault="00000000" w:rsidP="00DF14E0">
      <w:pPr>
        <w:spacing w:after="40" w:line="360" w:lineRule="auto"/>
        <w:jc w:val="both"/>
        <w:rPr>
          <w:rFonts w:cs="Arial"/>
          <w:lang w:val="en-US"/>
        </w:rPr>
      </w:pPr>
      <w:r w:rsidRPr="00871E74">
        <w:rPr>
          <w:rFonts w:cs="Arial"/>
          <w:sz w:val="17"/>
          <w:lang w:val="en-US"/>
        </w:rPr>
        <w:t>To address this problem, a vast literature from recommender systems (</w:t>
      </w:r>
      <w:proofErr w:type="spellStart"/>
      <w:r w:rsidRPr="00871E74">
        <w:rPr>
          <w:rFonts w:cs="Arial"/>
          <w:sz w:val="17"/>
          <w:lang w:val="en-US"/>
        </w:rPr>
        <w:t>Deldjoo</w:t>
      </w:r>
      <w:proofErr w:type="spellEnd"/>
      <w:r w:rsidRPr="00871E74">
        <w:rPr>
          <w:rFonts w:cs="Arial"/>
          <w:sz w:val="17"/>
          <w:lang w:val="en-US"/>
        </w:rPr>
        <w:t xml:space="preserve"> et al., 2024) and collective response systems (Ovadya, 2023) has developed automated selection strategies that optimize for various desiderata such as popularity (</w:t>
      </w:r>
      <w:proofErr w:type="spellStart"/>
      <w:r w:rsidRPr="00871E74">
        <w:rPr>
          <w:rFonts w:cs="Arial"/>
          <w:sz w:val="17"/>
          <w:lang w:val="en-US"/>
        </w:rPr>
        <w:t>Klimashevskaia</w:t>
      </w:r>
      <w:proofErr w:type="spellEnd"/>
      <w:r w:rsidRPr="00871E74">
        <w:rPr>
          <w:rFonts w:cs="Arial"/>
          <w:sz w:val="17"/>
          <w:lang w:val="en-US"/>
        </w:rPr>
        <w:t xml:space="preserve"> et al., 2024) and fairness (Zhao et al., 2025). In the case of online deliberation, designing an algorithmic mechanism for selecting a subset of representative opinions requires making an explicit choice with regard to the type of opinions that the algorithm ought to </w:t>
      </w:r>
      <w:proofErr w:type="spellStart"/>
      <w:r w:rsidRPr="00871E74">
        <w:rPr>
          <w:rFonts w:cs="Arial"/>
          <w:sz w:val="17"/>
          <w:lang w:val="en-US"/>
        </w:rPr>
        <w:t>favour</w:t>
      </w:r>
      <w:proofErr w:type="spellEnd"/>
      <w:r w:rsidRPr="00871E74">
        <w:rPr>
          <w:rFonts w:cs="Arial"/>
          <w:sz w:val="17"/>
          <w:lang w:val="en-US"/>
        </w:rPr>
        <w:t xml:space="preserve">. In other words, it requires defining what makes an opinion representative or desirable for selection: is it the most popular? the most consensual? the most disruptive? In deliberation contexts where multiple, often incompatible perspectives coexist (Crawford, 2016), answering these questions is not trivial. Nonetheless, their corresponding answers are embedded in algorithmic choices which directly influence deliberation results and yet are typically not made transparent to participants (Revel &amp; </w:t>
      </w:r>
      <w:proofErr w:type="spellStart"/>
      <w:r w:rsidRPr="00871E74">
        <w:rPr>
          <w:rFonts w:cs="Arial"/>
          <w:sz w:val="17"/>
          <w:lang w:val="en-US"/>
        </w:rPr>
        <w:t>Pénigaud</w:t>
      </w:r>
      <w:proofErr w:type="spellEnd"/>
      <w:r w:rsidRPr="00871E74">
        <w:rPr>
          <w:rFonts w:cs="Arial"/>
          <w:sz w:val="17"/>
          <w:lang w:val="en-US"/>
        </w:rPr>
        <w:t>, 2025).</w:t>
      </w:r>
    </w:p>
    <w:p w14:paraId="61CB74F1"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To address this gap, this work contributes the following: (1) A systematic study of how algorithmic mechanisms for opinion selection impact specific democratic desiderata in online deliberation. Our analysis using real-world deliberation data from </w:t>
      </w:r>
      <w:proofErr w:type="spellStart"/>
      <w:r w:rsidRPr="00871E74">
        <w:rPr>
          <w:rFonts w:cs="Arial"/>
          <w:sz w:val="17"/>
          <w:lang w:val="en-US"/>
        </w:rPr>
        <w:t>Remesh</w:t>
      </w:r>
      <w:proofErr w:type="spellEnd"/>
      <w:r w:rsidRPr="00871E74">
        <w:rPr>
          <w:rFonts w:cs="Arial"/>
          <w:sz w:val="17"/>
          <w:lang w:val="en-US"/>
        </w:rPr>
        <w:t xml:space="preserve"> reveals that existing algorithms exhibit clear trade-offs, and that enforcing constraints based on social choice theory leads to strong gains in representation while reasonably covering the opinion space and limiting redundancy among selected opinions.</w:t>
      </w:r>
    </w:p>
    <w:p w14:paraId="55522654" w14:textId="77777777" w:rsidR="005A2244" w:rsidRPr="00871E74" w:rsidRDefault="00000000" w:rsidP="00DF14E0">
      <w:pPr>
        <w:spacing w:after="40" w:line="360" w:lineRule="auto"/>
        <w:jc w:val="both"/>
        <w:rPr>
          <w:rFonts w:cs="Arial"/>
          <w:lang w:val="en-US"/>
        </w:rPr>
      </w:pPr>
      <w:r w:rsidRPr="00871E74">
        <w:rPr>
          <w:rFonts w:cs="Arial"/>
          <w:sz w:val="17"/>
          <w:lang w:val="en-US"/>
        </w:rPr>
        <w:t>(2) A novel selection algorithm based on social choice theory to promote diversity without breaking proportional representation constraints. We find empirically that, when the selected subset is small, our algorithm offers the best compromise between proportional representation and diversity, making it well suited to deliberation settings where (</w:t>
      </w:r>
      <w:proofErr w:type="spellStart"/>
      <w:r w:rsidRPr="00871E74">
        <w:rPr>
          <w:rFonts w:cs="Arial"/>
          <w:sz w:val="17"/>
          <w:lang w:val="en-US"/>
        </w:rPr>
        <w:t>i</w:t>
      </w:r>
      <w:proofErr w:type="spellEnd"/>
      <w:r w:rsidRPr="00871E74">
        <w:rPr>
          <w:rFonts w:cs="Arial"/>
          <w:sz w:val="17"/>
          <w:lang w:val="en-US"/>
        </w:rPr>
        <w:t>) the subset must represent the diversity of expressed opinions, (ii) the subset must remain small and digestible.</w:t>
      </w:r>
    </w:p>
    <w:p w14:paraId="4B954A1E" w14:textId="77777777" w:rsidR="005A2244" w:rsidRPr="00871E74" w:rsidRDefault="00000000" w:rsidP="00DF14E0">
      <w:pPr>
        <w:spacing w:after="40" w:line="360" w:lineRule="auto"/>
        <w:jc w:val="both"/>
        <w:rPr>
          <w:rFonts w:cs="Arial"/>
          <w:lang w:val="en-US"/>
        </w:rPr>
      </w:pPr>
      <w:r w:rsidRPr="00871E74">
        <w:rPr>
          <w:rFonts w:cs="Arial"/>
          <w:sz w:val="17"/>
          <w:lang w:val="en-US"/>
        </w:rPr>
        <w:t>Methodologically, this work contributes to the emerging literature on AI</w:t>
      </w:r>
      <w:r w:rsidRPr="00871E74">
        <w:rPr>
          <w:rFonts w:ascii="Cambria Math" w:hAnsi="Cambria Math" w:cs="Cambria Math"/>
          <w:sz w:val="17"/>
          <w:lang w:val="en-US"/>
        </w:rPr>
        <w:t>‐</w:t>
      </w:r>
      <w:r w:rsidRPr="00871E74">
        <w:rPr>
          <w:rFonts w:cs="Arial"/>
          <w:sz w:val="17"/>
          <w:lang w:val="en-US"/>
        </w:rPr>
        <w:t>facilitated deliberation by integrating social choice theory (Fish et al., 2023; Sætra, 2023). Empirically, it offers the first investigation of the impact of algorithmic intervention on online deliberation. Normatively, our findings inform the design of AI</w:t>
      </w:r>
      <w:r w:rsidRPr="00871E74">
        <w:rPr>
          <w:rFonts w:ascii="Cambria Math" w:hAnsi="Cambria Math" w:cs="Cambria Math"/>
          <w:sz w:val="17"/>
          <w:lang w:val="en-US"/>
        </w:rPr>
        <w:t>‐</w:t>
      </w:r>
      <w:r w:rsidRPr="00871E74">
        <w:rPr>
          <w:rFonts w:cs="Arial"/>
          <w:sz w:val="17"/>
          <w:lang w:val="en-US"/>
        </w:rPr>
        <w:t>augmented civic platforms, highlighting how systems can better preserve minority perspectives, and foster authentic, deliberative consensus rather than superficial agreement.</w:t>
      </w:r>
    </w:p>
    <w:p w14:paraId="6D85FDBD" w14:textId="77777777" w:rsidR="002F0F96" w:rsidRDefault="002F0F96" w:rsidP="00DF14E0">
      <w:pPr>
        <w:keepNext/>
        <w:spacing w:after="20" w:line="360" w:lineRule="auto"/>
        <w:jc w:val="both"/>
        <w:rPr>
          <w:rFonts w:cs="Arial"/>
          <w:b/>
          <w:sz w:val="18"/>
          <w:lang w:val="en-US"/>
        </w:rPr>
      </w:pPr>
    </w:p>
    <w:p w14:paraId="3949466D" w14:textId="05F39ACA" w:rsidR="005A2244" w:rsidRPr="00871E74" w:rsidRDefault="00000000" w:rsidP="00DF14E0">
      <w:pPr>
        <w:keepNext/>
        <w:spacing w:after="20" w:line="360" w:lineRule="auto"/>
        <w:jc w:val="both"/>
        <w:rPr>
          <w:rFonts w:cs="Arial"/>
          <w:lang w:val="en-US"/>
        </w:rPr>
      </w:pPr>
      <w:r w:rsidRPr="00871E74">
        <w:rPr>
          <w:rFonts w:cs="Arial"/>
          <w:b/>
          <w:sz w:val="18"/>
          <w:lang w:val="en-US"/>
        </w:rPr>
        <w:t xml:space="preserve">Jelle </w:t>
      </w:r>
      <w:proofErr w:type="spellStart"/>
      <w:r w:rsidRPr="00871E74">
        <w:rPr>
          <w:rFonts w:cs="Arial"/>
          <w:b/>
          <w:sz w:val="18"/>
          <w:lang w:val="en-US"/>
        </w:rPr>
        <w:t>Turkenburg</w:t>
      </w:r>
      <w:proofErr w:type="spellEnd"/>
      <w:r w:rsidRPr="00871E74">
        <w:rPr>
          <w:rFonts w:cs="Arial"/>
          <w:b/>
          <w:sz w:val="18"/>
          <w:lang w:val="en-US"/>
        </w:rPr>
        <w:t xml:space="preserve"> (Universiteit Twente)</w:t>
      </w:r>
    </w:p>
    <w:p w14:paraId="4B1FA228"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Beyond the Mini-Public: Online Legitimacy Judgements of the Dutch National Climate Assembly</w:t>
      </w:r>
    </w:p>
    <w:p w14:paraId="72C6E8EC" w14:textId="77777777" w:rsidR="005A2244" w:rsidRPr="00871E74" w:rsidRDefault="00000000" w:rsidP="00DF14E0">
      <w:pPr>
        <w:spacing w:after="40" w:line="360" w:lineRule="auto"/>
        <w:jc w:val="both"/>
        <w:rPr>
          <w:rFonts w:cs="Arial"/>
          <w:lang w:val="en-US"/>
        </w:rPr>
      </w:pPr>
      <w:r w:rsidRPr="00871E74">
        <w:rPr>
          <w:rFonts w:cs="Arial"/>
          <w:sz w:val="17"/>
          <w:lang w:val="en-US"/>
        </w:rPr>
        <w:t>Deliberative mini-publics aim to improve democratic decision-making by bringing a selected group of citizens together for informed and structured discussion. Their legitimacy, however, depends not only on the quality of deliberation within the forum. It also depends on how citizens outside the mini-public understand its representative role, evaluate its procedures, and judge the political influence of its recommendations. This talk examines these wider legitimacy judgements in relation to the Dutch National Climate Assembly. It asks how non-participating citizens assess whether the assembly represents the public, whether its procedures are fair and reliable, and how much political influence its recommendations should have.</w:t>
      </w:r>
    </w:p>
    <w:p w14:paraId="53E28B90"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The study analyses public comments responding to online news coverage at three stages of the assembly’s life cycle: its announcement and recruitment, its deliberative process and preparation of recommendations, and the publication of its 23 recommendations and the political response that followed. The corpus consists of comments posted in the online comment sections of major Dutch news outlets. </w:t>
      </w:r>
      <w:r w:rsidRPr="00871E74">
        <w:rPr>
          <w:rFonts w:cs="Arial"/>
          <w:sz w:val="17"/>
          <w:lang w:val="en-US"/>
        </w:rPr>
        <w:lastRenderedPageBreak/>
        <w:t>These comments are not treated as representative of Dutch public opinion. Instead, they are examined as spaces of public debate in which citizens express and contest ideas about fair representation, good deliberation, political authority, and democratic decision-making.</w:t>
      </w:r>
    </w:p>
    <w:p w14:paraId="3510E775"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The analysis combines deductive qualitative coding, supervised classification, and topic discovery. It draws on recent empirical research on how citizens perceive the legitimacy of deliberative processes, together with wider work on democratic legitimacy. On this basis, the study develops a tailored input–throughput–output framework for </w:t>
      </w:r>
      <w:proofErr w:type="spellStart"/>
      <w:r w:rsidRPr="00871E74">
        <w:rPr>
          <w:rFonts w:cs="Arial"/>
          <w:sz w:val="17"/>
          <w:lang w:val="en-US"/>
        </w:rPr>
        <w:t>analysing</w:t>
      </w:r>
      <w:proofErr w:type="spellEnd"/>
      <w:r w:rsidRPr="00871E74">
        <w:rPr>
          <w:rFonts w:cs="Arial"/>
          <w:sz w:val="17"/>
          <w:lang w:val="en-US"/>
        </w:rPr>
        <w:t xml:space="preserve"> public evaluations of mini-publics. The framework covers views on inclusion and representation; the fairness, independence, and quality of the deliberative process; and the effectiveness, influence, and political follow-up of the recommendations. An additional inductive analysis captures evaluations that fall outside these dimensions, including views about electoral authority, citizen competence, expertise, popular sovereignty, and the relationship between deliberation, voting, and representative decision-making.</w:t>
      </w:r>
    </w:p>
    <w:p w14:paraId="648C4CAB" w14:textId="77777777" w:rsidR="005A2244" w:rsidRDefault="00000000" w:rsidP="00DF14E0">
      <w:pPr>
        <w:spacing w:after="40" w:line="360" w:lineRule="auto"/>
        <w:jc w:val="both"/>
        <w:rPr>
          <w:rFonts w:cs="Arial"/>
          <w:sz w:val="17"/>
          <w:lang w:val="en-US"/>
        </w:rPr>
      </w:pPr>
      <w:r w:rsidRPr="00871E74">
        <w:rPr>
          <w:rFonts w:cs="Arial"/>
          <w:sz w:val="17"/>
          <w:lang w:val="en-US"/>
        </w:rPr>
        <w:t xml:space="preserve">The talk argues that public evaluation is not merely a communication issue that arises after a mini-public has completed its work. It is part of the wider process through which the legitimacy and authority of a mini-public are formed, challenged, or rejected. The study makes three contributions. First, it extends research on deliberative democracy by examining whether citizens outside a selected assembly </w:t>
      </w:r>
      <w:proofErr w:type="spellStart"/>
      <w:r w:rsidRPr="00871E74">
        <w:rPr>
          <w:rFonts w:cs="Arial"/>
          <w:sz w:val="17"/>
          <w:lang w:val="en-US"/>
        </w:rPr>
        <w:t>recognise</w:t>
      </w:r>
      <w:proofErr w:type="spellEnd"/>
      <w:r w:rsidRPr="00871E74">
        <w:rPr>
          <w:rFonts w:cs="Arial"/>
          <w:sz w:val="17"/>
          <w:lang w:val="en-US"/>
        </w:rPr>
        <w:t xml:space="preserve"> its claim to represent them in a real-world setting. Second, it connects research on mini-publics with research on the public sphere by showing how news comment sections become spaces where democratic procedures and representative claims are assessed. Third, it traces how legitimacy judgements develop from recruitment and deliberation to recommendations and political follow-up. In doing so, the study contributes to philosophical debates about representation and political authority, empirical research on democratic innovations, and societal debates about the use of citizens’ assemblies in contested policy areas such as climate change.</w:t>
      </w:r>
    </w:p>
    <w:p w14:paraId="04D04CFB" w14:textId="77777777" w:rsidR="00775D17" w:rsidRPr="00871E74" w:rsidRDefault="00775D17" w:rsidP="00DF14E0">
      <w:pPr>
        <w:spacing w:after="40" w:line="360" w:lineRule="auto"/>
        <w:jc w:val="both"/>
        <w:rPr>
          <w:rFonts w:cs="Arial"/>
          <w:lang w:val="en-US"/>
        </w:rPr>
      </w:pPr>
    </w:p>
    <w:p w14:paraId="75661BCD" w14:textId="7E200FE4" w:rsidR="005A2244" w:rsidRPr="00871E74" w:rsidRDefault="00000000" w:rsidP="00775D17">
      <w:pPr>
        <w:keepNext/>
        <w:pBdr>
          <w:top w:val="single" w:sz="4" w:space="1" w:color="auto"/>
          <w:left w:val="single" w:sz="4" w:space="4" w:color="auto"/>
          <w:bottom w:val="single" w:sz="4" w:space="1" w:color="auto"/>
          <w:right w:val="single" w:sz="4" w:space="4" w:color="auto"/>
        </w:pBdr>
        <w:spacing w:before="80" w:after="60" w:line="360" w:lineRule="auto"/>
        <w:jc w:val="both"/>
        <w:rPr>
          <w:rFonts w:cs="Arial"/>
          <w:lang w:val="en-US"/>
        </w:rPr>
      </w:pPr>
      <w:r w:rsidRPr="00871E74">
        <w:rPr>
          <w:rFonts w:cs="Arial"/>
          <w:b/>
          <w:sz w:val="21"/>
          <w:lang w:val="en-US"/>
        </w:rPr>
        <w:t xml:space="preserve">Contributed Talks V: </w:t>
      </w:r>
      <w:r w:rsidR="00775D17">
        <w:rPr>
          <w:rFonts w:cs="Arial"/>
          <w:b/>
          <w:sz w:val="21"/>
          <w:lang w:val="en-US"/>
        </w:rPr>
        <w:t>Allocating Chances and Votes</w:t>
      </w:r>
    </w:p>
    <w:p w14:paraId="694585F3" w14:textId="77777777" w:rsidR="005A2244" w:rsidRPr="00DF14E0" w:rsidRDefault="00000000" w:rsidP="00DF14E0">
      <w:pPr>
        <w:keepNext/>
        <w:spacing w:after="20" w:line="360" w:lineRule="auto"/>
        <w:jc w:val="both"/>
        <w:rPr>
          <w:rFonts w:cs="Arial"/>
        </w:rPr>
      </w:pPr>
      <w:r w:rsidRPr="00DF14E0">
        <w:rPr>
          <w:rFonts w:cs="Arial"/>
          <w:b/>
          <w:sz w:val="18"/>
        </w:rPr>
        <w:t xml:space="preserve">Stefan </w:t>
      </w:r>
      <w:proofErr w:type="spellStart"/>
      <w:r w:rsidRPr="00DF14E0">
        <w:rPr>
          <w:rFonts w:cs="Arial"/>
          <w:b/>
          <w:sz w:val="18"/>
        </w:rPr>
        <w:t>Wintein</w:t>
      </w:r>
      <w:proofErr w:type="spellEnd"/>
      <w:r w:rsidRPr="00DF14E0">
        <w:rPr>
          <w:rFonts w:cs="Arial"/>
          <w:b/>
          <w:sz w:val="18"/>
        </w:rPr>
        <w:t xml:space="preserve"> (Erasmus Universiteit Rotterdam)</w:t>
      </w:r>
    </w:p>
    <w:p w14:paraId="2B30AC7F"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Fair Lotteries for Equal Conflict Cases: A Principled Approach</w:t>
      </w:r>
    </w:p>
    <w:p w14:paraId="5A43D550"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In an equal conflict case, equally entitled claimants are grouped into different outcome groups, and only the claimants of a single outcome group can be benefited. As these outcome groups need not be disjoint, equal conflict cases generalize </w:t>
      </w:r>
      <w:proofErr w:type="spellStart"/>
      <w:r w:rsidRPr="00871E74">
        <w:rPr>
          <w:rFonts w:cs="Arial"/>
          <w:sz w:val="17"/>
          <w:lang w:val="en-US"/>
        </w:rPr>
        <w:t>Taurek</w:t>
      </w:r>
      <w:proofErr w:type="spellEnd"/>
      <w:r w:rsidRPr="00871E74">
        <w:rPr>
          <w:rFonts w:cs="Arial"/>
          <w:sz w:val="17"/>
          <w:lang w:val="en-US"/>
        </w:rPr>
        <w:t xml:space="preserve"> cases (whose outcome groups are disjoint per definition), which have received ample attention in the philosophical literature. According to Vong (2020), fairness requires that we hold an Exclusive Composition Sensitive (EXCS) lottery in order to decide which group to benefit in any equal conflict case. Vong’s argument for the EXCS procedure is that, of the many lottery procedures that satisfy what comparative fairness requires, the EXCS procedure best respects his intuitive judgements about what is absolutely fair. In this paper, we ask: which principles of fairness, as opposed to case-based intuitions, can be invoked to justify a lottery procedure for equal conflict cases? We study three theories of fairness, i.e. combinations of fairness principles, and the lottery procedures that they give rise to. All three theories augment the principle of comparative fairness (“equal impact”) that Vong endorses with further fairness principles. The two most appealing theories both add a principle of worst-off fairness (“</w:t>
      </w:r>
      <w:proofErr w:type="spellStart"/>
      <w:r w:rsidRPr="00871E74">
        <w:rPr>
          <w:rFonts w:cs="Arial"/>
          <w:sz w:val="17"/>
          <w:lang w:val="en-US"/>
        </w:rPr>
        <w:t>leximin</w:t>
      </w:r>
      <w:proofErr w:type="spellEnd"/>
      <w:r w:rsidRPr="00871E74">
        <w:rPr>
          <w:rFonts w:cs="Arial"/>
          <w:sz w:val="17"/>
          <w:lang w:val="en-US"/>
        </w:rPr>
        <w:t xml:space="preserve">”) but differ in the principle of absolute fairness that they endorse: “maximal expectation” seems to capture Vong’s remarks on absolute fairness to some extent, but we argue in </w:t>
      </w:r>
      <w:proofErr w:type="spellStart"/>
      <w:r w:rsidRPr="00871E74">
        <w:rPr>
          <w:rFonts w:cs="Arial"/>
          <w:sz w:val="17"/>
          <w:lang w:val="en-US"/>
        </w:rPr>
        <w:t>favour</w:t>
      </w:r>
      <w:proofErr w:type="spellEnd"/>
      <w:r w:rsidRPr="00871E74">
        <w:rPr>
          <w:rFonts w:cs="Arial"/>
          <w:sz w:val="17"/>
          <w:lang w:val="en-US"/>
        </w:rPr>
        <w:t xml:space="preserve"> of the ND theory, which endorses “non domination” as its principle of absolute fairness. We conclude by discussing alternatives theories that trade in worst-off fairness (“</w:t>
      </w:r>
      <w:proofErr w:type="spellStart"/>
      <w:r w:rsidRPr="00871E74">
        <w:rPr>
          <w:rFonts w:cs="Arial"/>
          <w:sz w:val="17"/>
          <w:lang w:val="en-US"/>
        </w:rPr>
        <w:t>leximin</w:t>
      </w:r>
      <w:proofErr w:type="spellEnd"/>
      <w:r w:rsidRPr="00871E74">
        <w:rPr>
          <w:rFonts w:cs="Arial"/>
          <w:sz w:val="17"/>
          <w:lang w:val="en-US"/>
        </w:rPr>
        <w:t>”) for principles that require to “equalize individual benefit probabilities to as large an extent as possible”. These alternatives can also provide the explanation of the intuitive judgements that we cited in support of the ND theory. However, by appealing to the individualist nature of fairness, we will argue that the ND theory is preferable to these alternatives.</w:t>
      </w:r>
    </w:p>
    <w:p w14:paraId="36B48D64" w14:textId="77777777" w:rsidR="002F0F96" w:rsidRDefault="002F0F96" w:rsidP="00DF14E0">
      <w:pPr>
        <w:keepNext/>
        <w:spacing w:after="20" w:line="360" w:lineRule="auto"/>
        <w:jc w:val="both"/>
        <w:rPr>
          <w:rFonts w:cs="Arial"/>
          <w:b/>
          <w:sz w:val="18"/>
          <w:lang w:val="en-US"/>
        </w:rPr>
      </w:pPr>
    </w:p>
    <w:p w14:paraId="775B5472" w14:textId="639A6F81" w:rsidR="005A2244" w:rsidRPr="00871E74" w:rsidRDefault="00000000" w:rsidP="00DF14E0">
      <w:pPr>
        <w:keepNext/>
        <w:spacing w:after="20" w:line="360" w:lineRule="auto"/>
        <w:jc w:val="both"/>
        <w:rPr>
          <w:rFonts w:cs="Arial"/>
          <w:lang w:val="en-US"/>
        </w:rPr>
      </w:pPr>
      <w:r w:rsidRPr="00871E74">
        <w:rPr>
          <w:rFonts w:cs="Arial"/>
          <w:b/>
          <w:sz w:val="18"/>
          <w:lang w:val="en-US"/>
        </w:rPr>
        <w:t xml:space="preserve">Théo </w:t>
      </w:r>
      <w:proofErr w:type="spellStart"/>
      <w:r w:rsidRPr="00871E74">
        <w:rPr>
          <w:rFonts w:cs="Arial"/>
          <w:b/>
          <w:sz w:val="18"/>
          <w:lang w:val="en-US"/>
        </w:rPr>
        <w:t>Delemazure</w:t>
      </w:r>
      <w:proofErr w:type="spellEnd"/>
      <w:r w:rsidRPr="00871E74">
        <w:rPr>
          <w:rFonts w:cs="Arial"/>
          <w:b/>
          <w:sz w:val="18"/>
          <w:lang w:val="en-US"/>
        </w:rPr>
        <w:t xml:space="preserve"> (Universiteit van Amsterdam), Dominik Peters (Université Paris Dauphine), Jerome Lang (Université Paris-Dauphine), Rupert Freeman (University of Virginia), and Jean-François </w:t>
      </w:r>
      <w:proofErr w:type="spellStart"/>
      <w:r w:rsidRPr="00871E74">
        <w:rPr>
          <w:rFonts w:cs="Arial"/>
          <w:b/>
          <w:sz w:val="18"/>
          <w:lang w:val="en-US"/>
        </w:rPr>
        <w:t>Laslier</w:t>
      </w:r>
      <w:proofErr w:type="spellEnd"/>
      <w:r w:rsidRPr="00871E74">
        <w:rPr>
          <w:rFonts w:cs="Arial"/>
          <w:b/>
          <w:sz w:val="18"/>
          <w:lang w:val="en-US"/>
        </w:rPr>
        <w:t xml:space="preserve"> (Paris School of Economics)</w:t>
      </w:r>
    </w:p>
    <w:p w14:paraId="05C39952"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Reallocating Wasted Votes in Proportional Parliamentary Elections with Thresholds</w:t>
      </w:r>
    </w:p>
    <w:p w14:paraId="3E9D083D" w14:textId="77777777" w:rsidR="005A2244" w:rsidRPr="00871E74" w:rsidRDefault="00000000" w:rsidP="00DF14E0">
      <w:pPr>
        <w:spacing w:after="40" w:line="360" w:lineRule="auto"/>
        <w:jc w:val="both"/>
        <w:rPr>
          <w:rFonts w:cs="Arial"/>
          <w:lang w:val="en-US"/>
        </w:rPr>
      </w:pPr>
      <w:r w:rsidRPr="00871E74">
        <w:rPr>
          <w:rFonts w:cs="Arial"/>
          <w:sz w:val="17"/>
          <w:lang w:val="en-US"/>
        </w:rPr>
        <w:t>In many proportional parliamentary elections, electoral thresholds (typically 3-5%) are used to promote stability and governability by preventing the election of parties with very small representation. However, these thresholds often result in a significant number of "wasted votes" cast for parties that fail to meet the threshold, which reduces representativeness. One proposal is to allow voters to specify replacement votes, by either indicating a second choice party or by ranking a subset of the parties, but there are several ways of deciding on the scores of the parties (and thus the composition of the parliament) given those votes. We introduce a formal model of party voting with thresholds, and compare a variety of party selection rules axiomatically, and experimentally using a dataset we collected during the 2024 European election in France. We identify three particularly attractive rules, called Direct Winners Only (DO), Single Transferable Vote (STV) and Greedy Plurality (GP).</w:t>
      </w:r>
    </w:p>
    <w:p w14:paraId="0984CE26" w14:textId="77777777" w:rsidR="002F0F96" w:rsidRDefault="002F0F96" w:rsidP="00DF14E0">
      <w:pPr>
        <w:keepNext/>
        <w:spacing w:before="80" w:after="60" w:line="360" w:lineRule="auto"/>
        <w:jc w:val="both"/>
        <w:rPr>
          <w:rFonts w:cs="Arial"/>
          <w:b/>
          <w:sz w:val="21"/>
          <w:lang w:val="en-US"/>
        </w:rPr>
      </w:pPr>
    </w:p>
    <w:p w14:paraId="6464DC36" w14:textId="77777777" w:rsidR="002F0F96" w:rsidRDefault="002F0F96" w:rsidP="00DF14E0">
      <w:pPr>
        <w:keepNext/>
        <w:spacing w:before="80" w:after="60" w:line="360" w:lineRule="auto"/>
        <w:jc w:val="both"/>
        <w:rPr>
          <w:rFonts w:cs="Arial"/>
          <w:b/>
          <w:sz w:val="21"/>
          <w:lang w:val="en-US"/>
        </w:rPr>
      </w:pPr>
    </w:p>
    <w:p w14:paraId="2951D4C4" w14:textId="46E543BF" w:rsidR="005A2244" w:rsidRPr="00871E74" w:rsidRDefault="00000000" w:rsidP="00DF14E0">
      <w:pPr>
        <w:keepNext/>
        <w:spacing w:before="80" w:after="60" w:line="360" w:lineRule="auto"/>
        <w:jc w:val="both"/>
        <w:rPr>
          <w:rFonts w:cs="Arial"/>
          <w:lang w:val="en-US"/>
        </w:rPr>
      </w:pPr>
      <w:r w:rsidRPr="00871E74">
        <w:rPr>
          <w:rFonts w:cs="Arial"/>
          <w:b/>
          <w:sz w:val="21"/>
          <w:lang w:val="en-US"/>
        </w:rPr>
        <w:t>Contributed Talks VI: Deliberation Platforms and Digital Sovereignty</w:t>
      </w:r>
    </w:p>
    <w:p w14:paraId="435C3D6B" w14:textId="77777777" w:rsidR="005A2244" w:rsidRPr="00871E74" w:rsidRDefault="00000000" w:rsidP="00DF14E0">
      <w:pPr>
        <w:keepNext/>
        <w:spacing w:after="20" w:line="360" w:lineRule="auto"/>
        <w:jc w:val="both"/>
        <w:rPr>
          <w:rFonts w:cs="Arial"/>
          <w:lang w:val="en-US"/>
        </w:rPr>
      </w:pPr>
      <w:r w:rsidRPr="00871E74">
        <w:rPr>
          <w:rFonts w:cs="Arial"/>
          <w:b/>
          <w:sz w:val="18"/>
          <w:lang w:val="en-US"/>
        </w:rPr>
        <w:t>Furkan Akar (KU Leuven)</w:t>
      </w:r>
    </w:p>
    <w:p w14:paraId="44AD0005"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From Platform Supply to Democratic Capacity: Evidence from a Census of 141 Digital Democracy Platforms and Ten Deployments</w:t>
      </w:r>
    </w:p>
    <w:p w14:paraId="1B3995D5" w14:textId="77777777" w:rsidR="005A2244" w:rsidRPr="00871E74" w:rsidRDefault="00000000" w:rsidP="00DF14E0">
      <w:pPr>
        <w:spacing w:after="40" w:line="360" w:lineRule="auto"/>
        <w:jc w:val="both"/>
        <w:rPr>
          <w:rFonts w:cs="Arial"/>
          <w:lang w:val="en-US"/>
        </w:rPr>
      </w:pPr>
      <w:r w:rsidRPr="00871E74">
        <w:rPr>
          <w:rFonts w:cs="Arial"/>
          <w:sz w:val="17"/>
          <w:lang w:val="en-US"/>
        </w:rPr>
        <w:t>Deliberative and participatory processes are increasingly run on digital infrastructure that no single source has yet described systematically. This paper reports an empirical study of what that infrastructure consists of, and of what determines whether it produces democratic value once a public authority puts it to use.</w:t>
      </w:r>
    </w:p>
    <w:p w14:paraId="0B35C687"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The study, conducted under the Horizon Europe INNOVADE project, uses two complementary layers of evidence. The first is an original supply-side census documenting 141 verified platforms as of 2025, of which 130 were active at verification, each coded on provider type, headquarters jurisdiction, </w:t>
      </w:r>
      <w:proofErr w:type="spellStart"/>
      <w:r w:rsidRPr="00871E74">
        <w:rPr>
          <w:rFonts w:cs="Arial"/>
          <w:sz w:val="17"/>
          <w:lang w:val="en-US"/>
        </w:rPr>
        <w:t>licence</w:t>
      </w:r>
      <w:proofErr w:type="spellEnd"/>
      <w:r w:rsidRPr="00871E74">
        <w:rPr>
          <w:rFonts w:cs="Arial"/>
          <w:sz w:val="17"/>
          <w:lang w:val="en-US"/>
        </w:rPr>
        <w:t>, operational status, accessibility disclosure, and a nine-cluster functional taxonomy. Structural fields were verified directly by the research team; feature fields consolidate three secondary catalogues with a manual validation layer, so feature counts reflect source coverage as much as platform capability. The second layer is a qualitative synthesis of ten mature deployments, selected purposively across geography, governance level, provider type, function and documentation quality, and read through five lenses covering governance, inclusion, process design, technology and resources.</w:t>
      </w:r>
    </w:p>
    <w:p w14:paraId="290DDAB9"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The census finds that the baseline toolkit is no longer scarce. Polling, surveys, voting and </w:t>
      </w:r>
      <w:proofErr w:type="spellStart"/>
      <w:r w:rsidRPr="00871E74">
        <w:rPr>
          <w:rFonts w:cs="Arial"/>
          <w:sz w:val="17"/>
          <w:lang w:val="en-US"/>
        </w:rPr>
        <w:t>prioritisation</w:t>
      </w:r>
      <w:proofErr w:type="spellEnd"/>
      <w:r w:rsidRPr="00871E74">
        <w:rPr>
          <w:rFonts w:cs="Arial"/>
          <w:sz w:val="17"/>
          <w:lang w:val="en-US"/>
        </w:rPr>
        <w:t xml:space="preserve"> are documented for 95 platforms (67.4 per cent) and ideation and deliberation for 89 (63.1 per cent). Supply is nonetheless concentrated and privately held: private providers account for 57.4 per cent of platforms and proprietary </w:t>
      </w:r>
      <w:proofErr w:type="spellStart"/>
      <w:r w:rsidRPr="00871E74">
        <w:rPr>
          <w:rFonts w:cs="Arial"/>
          <w:sz w:val="17"/>
          <w:lang w:val="en-US"/>
        </w:rPr>
        <w:t>licences</w:t>
      </w:r>
      <w:proofErr w:type="spellEnd"/>
      <w:r w:rsidRPr="00871E74">
        <w:rPr>
          <w:rFonts w:cs="Arial"/>
          <w:sz w:val="17"/>
          <w:lang w:val="en-US"/>
        </w:rPr>
        <w:t xml:space="preserve"> for 61.7 per cent, public bodies built only eight platforms directly, and two headquarters jurisdictions, the United States and France, host 41 per cent of the field. </w:t>
      </w:r>
      <w:proofErr w:type="spellStart"/>
      <w:r w:rsidRPr="00871E74">
        <w:rPr>
          <w:rFonts w:cs="Arial"/>
          <w:sz w:val="17"/>
          <w:lang w:val="en-US"/>
        </w:rPr>
        <w:t>Licence</w:t>
      </w:r>
      <w:proofErr w:type="spellEnd"/>
      <w:r w:rsidRPr="00871E74">
        <w:rPr>
          <w:rFonts w:cs="Arial"/>
          <w:sz w:val="17"/>
          <w:lang w:val="en-US"/>
        </w:rPr>
        <w:t xml:space="preserve"> choice tracks provider type more closely than any market-wide trend, with third-sector platforms open source in 69 per cent of cases and private ones proprietary in 89 per cent. Disclosure is thin where it matters most: accessibility is documented for roughly a quarter of platforms.</w:t>
      </w:r>
    </w:p>
    <w:p w14:paraId="138CAF18"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The deployments yield thirteen drivers of success, of which three recur with particular force: institutional commitment to act on citizen input, more consistently decisive than the choice of tool; hybrid participation, which reaches more broadly than digital-only designs; and visible feedback loops, which, rather than acceptance rates, sustain willingness to participate again. Of nineteen challenge categories triangulated from the cases and four authoritative secondary sources, two bind in nine of the ten deployments: weak </w:t>
      </w:r>
      <w:proofErr w:type="spellStart"/>
      <w:r w:rsidRPr="00871E74">
        <w:rPr>
          <w:rFonts w:cs="Arial"/>
          <w:sz w:val="17"/>
          <w:lang w:val="en-US"/>
        </w:rPr>
        <w:t>institutionalisation</w:t>
      </w:r>
      <w:proofErr w:type="spellEnd"/>
      <w:r w:rsidRPr="00871E74">
        <w:rPr>
          <w:rFonts w:cs="Arial"/>
          <w:sz w:val="17"/>
          <w:lang w:val="en-US"/>
        </w:rPr>
        <w:t xml:space="preserve"> with limited political commitment, and insufficient resources with heavy administrative burdens. These are the field's success stories, and the recurring difficulty in them is institutional rather than technical.</w:t>
      </w:r>
    </w:p>
    <w:p w14:paraId="1725F4ED" w14:textId="77777777" w:rsidR="005A2244" w:rsidRPr="00871E74" w:rsidRDefault="00000000" w:rsidP="00DF14E0">
      <w:pPr>
        <w:spacing w:after="40" w:line="360" w:lineRule="auto"/>
        <w:jc w:val="both"/>
        <w:rPr>
          <w:rFonts w:cs="Arial"/>
          <w:lang w:val="en-US"/>
        </w:rPr>
      </w:pPr>
      <w:r w:rsidRPr="00871E74">
        <w:rPr>
          <w:rFonts w:cs="Arial"/>
          <w:sz w:val="17"/>
          <w:lang w:val="en-US"/>
        </w:rPr>
        <w:t>The paper concludes that platform choice sits downstream of institutional design, and sets out the readiness conditions the case evidence supports: a mandate to act on outputs, operational capacity, a design for visible feedback, a governance arrangement for any AI component, and funding that outlasts the pilot. For scholars of deliberation and social choice, the census maps where deliberative and voting-based functions are fielded, and the cases identify the institutional conditions under which citizen input takes effect. The dataset is openly published under CC BY 4.0, and the full report and an interactive companion are publicly available.</w:t>
      </w:r>
    </w:p>
    <w:p w14:paraId="7FFF0AEA" w14:textId="77777777" w:rsidR="002F0F96" w:rsidRDefault="002F0F96" w:rsidP="00DF14E0">
      <w:pPr>
        <w:keepNext/>
        <w:spacing w:after="20" w:line="360" w:lineRule="auto"/>
        <w:jc w:val="both"/>
        <w:rPr>
          <w:rFonts w:cs="Arial"/>
          <w:b/>
          <w:sz w:val="18"/>
          <w:lang w:val="en-US"/>
        </w:rPr>
      </w:pPr>
    </w:p>
    <w:p w14:paraId="2631ED55" w14:textId="3D3668DB" w:rsidR="005A2244" w:rsidRPr="00A85CFF" w:rsidRDefault="00000000" w:rsidP="00DF14E0">
      <w:pPr>
        <w:keepNext/>
        <w:spacing w:after="20" w:line="360" w:lineRule="auto"/>
        <w:jc w:val="both"/>
        <w:rPr>
          <w:rFonts w:cs="Arial"/>
          <w:b/>
          <w:sz w:val="18"/>
          <w:lang w:val="en-BE"/>
        </w:rPr>
      </w:pPr>
      <w:r w:rsidRPr="00871E74">
        <w:rPr>
          <w:rFonts w:cs="Arial"/>
          <w:b/>
          <w:sz w:val="18"/>
          <w:lang w:val="en-US"/>
        </w:rPr>
        <w:t>Olivier Michel (</w:t>
      </w:r>
      <w:proofErr w:type="spellStart"/>
      <w:r w:rsidR="00A85CFF" w:rsidRPr="00A85CFF">
        <w:rPr>
          <w:rFonts w:cs="Arial"/>
          <w:b/>
          <w:sz w:val="18"/>
          <w:lang w:val="en-BE"/>
        </w:rPr>
        <w:t>DirectDemocracy</w:t>
      </w:r>
      <w:proofErr w:type="spellEnd"/>
      <w:r w:rsidR="00A85CFF" w:rsidRPr="00A85CFF">
        <w:rPr>
          <w:rFonts w:cs="Arial"/>
          <w:b/>
          <w:sz w:val="18"/>
          <w:lang w:val="en-BE"/>
        </w:rPr>
        <w:t xml:space="preserve"> Association</w:t>
      </w:r>
      <w:r w:rsidRPr="00871E74">
        <w:rPr>
          <w:rFonts w:cs="Arial"/>
          <w:b/>
          <w:sz w:val="18"/>
          <w:lang w:val="en-US"/>
        </w:rPr>
        <w:t>)</w:t>
      </w:r>
    </w:p>
    <w:p w14:paraId="646AA96C"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Demist: an Emergent, Global, Federal Direct Democracy</w:t>
      </w:r>
    </w:p>
    <w:p w14:paraId="74809D86" w14:textId="77777777" w:rsidR="005A2244" w:rsidRPr="00871E74" w:rsidRDefault="00000000" w:rsidP="00DF14E0">
      <w:pPr>
        <w:spacing w:after="40" w:line="360" w:lineRule="auto"/>
        <w:jc w:val="both"/>
        <w:rPr>
          <w:rFonts w:cs="Arial"/>
          <w:lang w:val="en-US"/>
        </w:rPr>
      </w:pPr>
      <w:r w:rsidRPr="00871E74">
        <w:rPr>
          <w:rFonts w:cs="Arial"/>
          <w:sz w:val="17"/>
          <w:lang w:val="en-US"/>
        </w:rPr>
        <w:t>Digital democratic innovations promise participation at scale, but the platforms hosting them concentrate exactly the powers democracy is meant to distribute: a single operator maintains the voter roll, counts the ballots, and can censor or shut down the process. This talk introduces Demist, a free-software protocol — a complete, versioned specification together with a working reference implementation — for a decentralized, global, federal direct democracy, and examines the normative choices its design forced.</w:t>
      </w:r>
    </w:p>
    <w:p w14:paraId="0528193E"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Demist rests on three pillars. First, identity: a Web of Trust anchors every citizen to a deme, the smallest OpenStreetMap administrative boundary enclosing their home, within a citizen-ratified federation mirroring the world's administrative hierarchy. Citizenship is earned through in-person certifications by local citizens and survives a public challenge phase, yielding Sybil resistance — and, as a byproduct, a general proof of personhood — grounded in local human trust rather than biometric capture, state registries, or economic stake. Second, voting: any citizen may initiate geographically scoped referendums and elections, decided by direct vote or by majority judgment, at any level of the federation. Eligible citizens cast anonymous ballots based on linkable ring signatures, reconciling ballot secrecy, resistance to double voting, and end-to-end verifiability: anyone can recompute every tally from public data, yet no one can link a ballot to a voter. Third, incentives: a currency issued according to the Relative Theory of Money rewards the work democracy requires — certifying neighbors, producing blocks, </w:t>
      </w:r>
      <w:proofErr w:type="spellStart"/>
      <w:r w:rsidRPr="00871E74">
        <w:rPr>
          <w:rFonts w:cs="Arial"/>
          <w:sz w:val="17"/>
          <w:lang w:val="en-US"/>
        </w:rPr>
        <w:t>votings</w:t>
      </w:r>
      <w:proofErr w:type="spellEnd"/>
      <w:r w:rsidRPr="00871E74">
        <w:rPr>
          <w:rFonts w:cs="Arial"/>
          <w:sz w:val="17"/>
          <w:lang w:val="en-US"/>
        </w:rPr>
        <w:t xml:space="preserve"> campaigns that achieve high participation — so the infrastructure is sustained by its citizens rather than by proof-of-work, proof-of-stake, or a funding body.</w:t>
      </w:r>
    </w:p>
    <w:p w14:paraId="6E5D00DD" w14:textId="77777777" w:rsidR="005A2244" w:rsidRPr="00871E74" w:rsidRDefault="00000000" w:rsidP="00DF14E0">
      <w:pPr>
        <w:spacing w:after="40" w:line="360" w:lineRule="auto"/>
        <w:jc w:val="both"/>
        <w:rPr>
          <w:rFonts w:cs="Arial"/>
          <w:lang w:val="en-US"/>
        </w:rPr>
      </w:pPr>
      <w:r w:rsidRPr="00871E74">
        <w:rPr>
          <w:rFonts w:cs="Arial"/>
          <w:sz w:val="17"/>
          <w:lang w:val="en-US"/>
        </w:rPr>
        <w:lastRenderedPageBreak/>
        <w:t xml:space="preserve">The design also draws a deliberate boundary between social choice and deliberation. The chain fixes the electorate, guarantees ballot integrity, and executes the aggregation rule; deliberation is intentionally kept off-chain, in a plural public sphere. Open companion protocols let any web service authenticate citizens and collect independently verifiable signatures on documents, so petitions and position statements — non-binding collective expression — can circulate freely and mature into binding on-chain </w:t>
      </w:r>
      <w:proofErr w:type="spellStart"/>
      <w:r w:rsidRPr="00871E74">
        <w:rPr>
          <w:rFonts w:cs="Arial"/>
          <w:sz w:val="17"/>
          <w:lang w:val="en-US"/>
        </w:rPr>
        <w:t>votings</w:t>
      </w:r>
      <w:proofErr w:type="spellEnd"/>
      <w:r w:rsidRPr="00871E74">
        <w:rPr>
          <w:rFonts w:cs="Arial"/>
          <w:sz w:val="17"/>
          <w:lang w:val="en-US"/>
        </w:rPr>
        <w:t xml:space="preserve"> once they gather sufficient support. This division of labor is offered as a concrete answer to the question animating this conference: what should be entrenched in the aggregation machinery, and what should remain open-ended discourse?</w:t>
      </w:r>
    </w:p>
    <w:p w14:paraId="00F717F9" w14:textId="77777777" w:rsidR="005A2244" w:rsidRPr="00871E74" w:rsidRDefault="00000000" w:rsidP="00DF14E0">
      <w:pPr>
        <w:spacing w:after="40" w:line="360" w:lineRule="auto"/>
        <w:jc w:val="both"/>
        <w:rPr>
          <w:rFonts w:cs="Arial"/>
          <w:lang w:val="en-US"/>
        </w:rPr>
      </w:pPr>
      <w:r w:rsidRPr="00871E74">
        <w:rPr>
          <w:rFonts w:cs="Arial"/>
          <w:sz w:val="17"/>
          <w:lang w:val="en-US"/>
        </w:rPr>
        <w:t>The talk closes with the tensions the project cannot engineer away and where philosophical scrutiny is most needed: which aggregation rules deserve constitutional entrenchment in code, and who may amend them; the trade-off between public, on-chain personal identity and privacy; and whether monetarily incentivized participation can remain genuinely deliberative. Demist is not a thought experiment: the specification is implemented end to end by a consensus node, and a public beta is open for testing today — anyone can install the progressive web app at https://demist.net, create an identity, join the Web of Trust, cast anonymous, verifiable ballots, propose referendums, elections, etc. Presenting it here is an invitation to try it, evaluate it by your own experience and eventually adopt it: as a citizen, you will have the power to express yourself to convince a majority of citizens to change it the way you believe it should be changed.</w:t>
      </w:r>
    </w:p>
    <w:p w14:paraId="5F303F16" w14:textId="77777777" w:rsidR="002F0F96" w:rsidRDefault="002F0F96" w:rsidP="00DF14E0">
      <w:pPr>
        <w:keepNext/>
        <w:spacing w:before="80" w:after="60" w:line="360" w:lineRule="auto"/>
        <w:jc w:val="both"/>
        <w:rPr>
          <w:rFonts w:cs="Arial"/>
          <w:b/>
          <w:sz w:val="21"/>
          <w:lang w:val="en-US"/>
        </w:rPr>
      </w:pPr>
    </w:p>
    <w:p w14:paraId="225F5E56" w14:textId="7652BD2C" w:rsidR="005A2244" w:rsidRPr="00871E74" w:rsidRDefault="00000000" w:rsidP="00775D17">
      <w:pPr>
        <w:keepNext/>
        <w:pBdr>
          <w:top w:val="single" w:sz="4" w:space="1" w:color="auto"/>
          <w:left w:val="single" w:sz="4" w:space="4" w:color="auto"/>
          <w:bottom w:val="single" w:sz="4" w:space="1" w:color="auto"/>
          <w:right w:val="single" w:sz="4" w:space="4" w:color="auto"/>
        </w:pBdr>
        <w:spacing w:before="80" w:after="60" w:line="360" w:lineRule="auto"/>
        <w:jc w:val="both"/>
        <w:rPr>
          <w:rFonts w:cs="Arial"/>
          <w:lang w:val="en-US"/>
        </w:rPr>
      </w:pPr>
      <w:r w:rsidRPr="00871E74">
        <w:rPr>
          <w:rFonts w:cs="Arial"/>
          <w:b/>
          <w:sz w:val="21"/>
          <w:lang w:val="en-US"/>
        </w:rPr>
        <w:t>Contributed Talks VII: Democracy &amp; AI: Philosophical Reflections</w:t>
      </w:r>
    </w:p>
    <w:p w14:paraId="3FB2C988" w14:textId="77777777" w:rsidR="005A2244" w:rsidRPr="00871E74" w:rsidRDefault="00000000" w:rsidP="00DF14E0">
      <w:pPr>
        <w:keepNext/>
        <w:spacing w:after="20" w:line="360" w:lineRule="auto"/>
        <w:jc w:val="both"/>
        <w:rPr>
          <w:rFonts w:cs="Arial"/>
          <w:lang w:val="en-US"/>
        </w:rPr>
      </w:pPr>
      <w:r w:rsidRPr="00871E74">
        <w:rPr>
          <w:rFonts w:cs="Arial"/>
          <w:b/>
          <w:sz w:val="18"/>
          <w:lang w:val="en-US"/>
        </w:rPr>
        <w:t xml:space="preserve">Eike </w:t>
      </w:r>
      <w:proofErr w:type="spellStart"/>
      <w:r w:rsidRPr="00871E74">
        <w:rPr>
          <w:rFonts w:cs="Arial"/>
          <w:b/>
          <w:sz w:val="18"/>
          <w:lang w:val="en-US"/>
        </w:rPr>
        <w:t>Düvel</w:t>
      </w:r>
      <w:proofErr w:type="spellEnd"/>
      <w:r w:rsidRPr="00871E74">
        <w:rPr>
          <w:rFonts w:cs="Arial"/>
          <w:b/>
          <w:sz w:val="18"/>
          <w:lang w:val="en-US"/>
        </w:rPr>
        <w:t xml:space="preserve"> (Karlsruher Institute of Technology)</w:t>
      </w:r>
    </w:p>
    <w:p w14:paraId="48EA45E7"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Can Democracy Be Delegated? Digital Twins and the Value of Public Deliberation</w:t>
      </w:r>
    </w:p>
    <w:p w14:paraId="36F62C05" w14:textId="77777777" w:rsidR="005A2244" w:rsidRPr="00871E74" w:rsidRDefault="00000000" w:rsidP="00DF14E0">
      <w:pPr>
        <w:spacing w:after="40" w:line="360" w:lineRule="auto"/>
        <w:jc w:val="both"/>
        <w:rPr>
          <w:rFonts w:cs="Arial"/>
          <w:lang w:val="en-US"/>
        </w:rPr>
      </w:pPr>
      <w:r w:rsidRPr="00871E74">
        <w:rPr>
          <w:rFonts w:cs="Arial"/>
          <w:sz w:val="17"/>
          <w:lang w:val="en-US"/>
        </w:rPr>
        <w:t>This paper examines the normative implications of using artificial intelligence to replace human engagement in democratic politics. It focuses on proposals for ‘digital twin’ democracy, in which each citizen is represented by an AI system trained on their preferences, values, and political judgments. I locate these proposals on a spectrum of uses of AI in democracy ranging from facilitation, where AI supports human deliberation through tasks such as translation, summarization, or mediation, to replacement, where AI systems themselves take over deliberation and decision-making. To isolate the normative question of human participation, I assume that digital twins work as promised: they reliably represent citizens’ interests and produce policies that are at least as good as, and potentially better than, those produced by existing democratic institutions.</w:t>
      </w:r>
    </w:p>
    <w:p w14:paraId="1D039116" w14:textId="77777777" w:rsidR="005A2244" w:rsidRPr="00871E74" w:rsidRDefault="00000000" w:rsidP="00DF14E0">
      <w:pPr>
        <w:spacing w:after="40" w:line="360" w:lineRule="auto"/>
        <w:jc w:val="both"/>
        <w:rPr>
          <w:rFonts w:cs="Arial"/>
          <w:lang w:val="en-US"/>
        </w:rPr>
      </w:pPr>
      <w:r w:rsidRPr="00871E74">
        <w:rPr>
          <w:rFonts w:cs="Arial"/>
          <w:sz w:val="17"/>
          <w:lang w:val="en-US"/>
        </w:rPr>
        <w:t>I argue that whether such replacement appears promising or threatening depends crucially on the understanding of democracy one adopts. On an aggregative view, democracy is primarily a mechanism for registering and combining citizens’ preferences into collectively binding decisions. Because these preferences are treated as exogenous to political decision-making, human participation has primarily instrumental value. If digital twins could register and aggregate preferences more accurately, efficiently, inclusively, and fairly, replacing human participation might therefore improve democratic performance. On a deliberative view, by contrast, democracy is a practice of public reasoning among free and equal citizens. Citizens do not merely express pre-existing preferences but justify claims to one another, respond to competing perspectives, revise their judgments, and understand themselves as co-authors of the laws under which they live.</w:t>
      </w:r>
    </w:p>
    <w:p w14:paraId="2CE1C798" w14:textId="77777777" w:rsidR="005A2244" w:rsidRPr="00871E74" w:rsidRDefault="00000000" w:rsidP="00DF14E0">
      <w:pPr>
        <w:spacing w:after="40" w:line="360" w:lineRule="auto"/>
        <w:jc w:val="both"/>
        <w:rPr>
          <w:rFonts w:cs="Arial"/>
          <w:lang w:val="en-US"/>
        </w:rPr>
      </w:pPr>
      <w:r w:rsidRPr="00871E74">
        <w:rPr>
          <w:rFonts w:cs="Arial"/>
          <w:sz w:val="17"/>
          <w:lang w:val="en-US"/>
        </w:rPr>
        <w:t>Drawing on analogies with art, work, and relationships, I develop three dimensions of the value of human-powered democracy. Like art, democratic participation has an expressive function through which citizens articulate and develop values and political identities. Like work, it has a constructive function through which citizens exercise political capacities and participate in shaping their shared social world. And like valuable interpersonal relationships, democratic politics has a relational function grounded in mutual recognition, ongoing responsiveness, and the joint constitution of political identities. Digital twins threaten each of these goods because citizens become spectators of, rather than participants in, the processes through which political decisions are formed.</w:t>
      </w:r>
    </w:p>
    <w:p w14:paraId="6CB2DA72" w14:textId="77777777" w:rsidR="005A2244" w:rsidRPr="00871E74" w:rsidRDefault="00000000" w:rsidP="00DF14E0">
      <w:pPr>
        <w:spacing w:after="40" w:line="360" w:lineRule="auto"/>
        <w:jc w:val="both"/>
        <w:rPr>
          <w:rFonts w:cs="Arial"/>
          <w:lang w:val="en-US"/>
        </w:rPr>
      </w:pPr>
      <w:r w:rsidRPr="00871E74">
        <w:rPr>
          <w:rFonts w:cs="Arial"/>
          <w:sz w:val="17"/>
          <w:lang w:val="en-US"/>
        </w:rPr>
        <w:t>The argument is conditional: it does not establish that deliberative democracy is superior to aggregative alternatives, but shows that replacing human participation carries much greater normative costs if deliberative values matter. Finally, I consider a second-best challenge: given the substantial failures of actual democracies to realize deliberative ideals, digital twin democracy might nevertheless appear preferable to existing institutions. I argue that the force of this defense ultimately depends on a deeper question about political legitimacy: whether legitimate authority requires citizens to participate in authoring the laws that govern them, or whether sufficiently good political outcomes can substitute for such participation.</w:t>
      </w:r>
    </w:p>
    <w:p w14:paraId="35F7767F" w14:textId="77777777" w:rsidR="002F0F96" w:rsidRDefault="002F0F96" w:rsidP="00DF14E0">
      <w:pPr>
        <w:keepNext/>
        <w:spacing w:after="20" w:line="360" w:lineRule="auto"/>
        <w:jc w:val="both"/>
        <w:rPr>
          <w:rFonts w:cs="Arial"/>
          <w:b/>
          <w:sz w:val="18"/>
          <w:lang w:val="en-US"/>
        </w:rPr>
      </w:pPr>
    </w:p>
    <w:p w14:paraId="24734B84" w14:textId="58F123CE" w:rsidR="005A2244" w:rsidRPr="00871E74" w:rsidRDefault="00000000" w:rsidP="00DF14E0">
      <w:pPr>
        <w:keepNext/>
        <w:spacing w:after="20" w:line="360" w:lineRule="auto"/>
        <w:jc w:val="both"/>
        <w:rPr>
          <w:rFonts w:cs="Arial"/>
          <w:lang w:val="en-US"/>
        </w:rPr>
      </w:pPr>
      <w:r w:rsidRPr="00871E74">
        <w:rPr>
          <w:rFonts w:cs="Arial"/>
          <w:b/>
          <w:sz w:val="18"/>
          <w:lang w:val="en-US"/>
        </w:rPr>
        <w:t xml:space="preserve">Adrien </w:t>
      </w:r>
      <w:proofErr w:type="spellStart"/>
      <w:r w:rsidRPr="00871E74">
        <w:rPr>
          <w:rFonts w:cs="Arial"/>
          <w:b/>
          <w:sz w:val="18"/>
          <w:lang w:val="en-US"/>
        </w:rPr>
        <w:t>Tallent</w:t>
      </w:r>
      <w:proofErr w:type="spellEnd"/>
      <w:r w:rsidRPr="00871E74">
        <w:rPr>
          <w:rFonts w:cs="Arial"/>
          <w:b/>
          <w:sz w:val="18"/>
          <w:lang w:val="en-US"/>
        </w:rPr>
        <w:t xml:space="preserve"> (Sorbonne University)</w:t>
      </w:r>
    </w:p>
    <w:p w14:paraId="7624C36B" w14:textId="77777777" w:rsidR="005A2244" w:rsidRPr="00871E74" w:rsidRDefault="00000000" w:rsidP="00DF14E0">
      <w:pPr>
        <w:keepNext/>
        <w:spacing w:after="20" w:line="360" w:lineRule="auto"/>
        <w:jc w:val="both"/>
        <w:rPr>
          <w:rFonts w:cs="Arial"/>
          <w:lang w:val="en-US"/>
        </w:rPr>
      </w:pPr>
      <w:r w:rsidRPr="00871E74">
        <w:rPr>
          <w:rFonts w:cs="Arial"/>
          <w:i/>
          <w:sz w:val="18"/>
          <w:lang w:val="en-US"/>
        </w:rPr>
        <w:t>AI, deliberative democracy, and the institutional conditions of large digital participation</w:t>
      </w:r>
    </w:p>
    <w:p w14:paraId="2561C61F" w14:textId="77777777" w:rsidR="005A2244" w:rsidRPr="00871E74" w:rsidRDefault="00000000" w:rsidP="00DF14E0">
      <w:pPr>
        <w:spacing w:after="40" w:line="360" w:lineRule="auto"/>
        <w:jc w:val="both"/>
        <w:rPr>
          <w:rFonts w:cs="Arial"/>
          <w:lang w:val="en-US"/>
        </w:rPr>
      </w:pPr>
      <w:r w:rsidRPr="00871E74">
        <w:rPr>
          <w:rFonts w:cs="Arial"/>
          <w:sz w:val="17"/>
          <w:lang w:val="en-US"/>
        </w:rPr>
        <w:t xml:space="preserve">Artificial intelligence now appears to make it possible to expand deliberative democracy. Digital systems can organize large-scale consultations, synthesize thousands of contributions, translate arguments, map out areas of disagreement, identify points of convergence, and bridge the gap between open participation and mini-publics. This suggests that AI could address one of the classic challenges of </w:t>
      </w:r>
      <w:r w:rsidRPr="00871E74">
        <w:rPr>
          <w:rFonts w:cs="Arial"/>
          <w:sz w:val="17"/>
          <w:lang w:val="en-US"/>
        </w:rPr>
        <w:lastRenderedPageBreak/>
        <w:t>deliberative democracy: scaling up. It appears to reopen the possibility of more continuous citizen participation in the formation of the collective will without relying on representation. However, this article argues that this promise should not lead us to place digital deliberative democracy in opposition to institutions based on social contract theories. This opposition rests on the illusion that technological disintermediation would spontaneously produce self-governance and make traditional democratic institutions unnecessary. Yet a de-institutionalized digital democracy risks being politically weak. It would be participatory and decentralized but lacking real power and dependent on infrastructure controlled by private actors—all within a highly tense global context. The decentralization of civic expression can thus coexist with an extreme concentration of computational power. The issue, therefore, is not only to determine whether AI can facilitate democratic participation, but also to identify the institutional conditions under which such participation can take place in order to offer a solution to the widespread political disenchantment observed in Western countries, at least. Digital technologies are not neutral tools. They select, classify, summarize, prioritize, and highlight certain contributions over others. They thus contribute to transforming opinions into politically usable objects. If these mediations remain opaque, private, or unchallengeable, they risk producing not a general will, but rather the extraction of civic data or an artificially optimized consensus. Following Rousseau, the article argues that the general will cannot be reduced to an algorithmic aggregation of individual preferences. The people do not become sovereign simply because they express themselves more; they become sovereign when their expression is institutionalized through public, egalitarian, and reviewable procedures capable of producing justifiable decisions. Finally, the article proposes the concept of a “defensive Leviathan” to refer not to an authoritarian state that absorbs citizen participation, but to a public authority tasked with defending the very conditions of democratic self-governance in the face of the private sovereignties of Big Tech. This defensive Leviathan would be tasked with guaranteeing public or shared infrastructure, the auditability of AI systems, equal access, transparency in synthesis and aggregation procedures, protection against manipulation, and binding links between citizen deliberation and public decision-making. It should also ensure the principle of democratic reversibility of AI systems. This article thus aims to contribute to the debates on deliberative democracy and civic tech by advancing an institutional argument: AI can help decentralize democratic expression, but only strong democratic institutions can prevent this participation from being co-opted, commodified, or politically neutralized. The challenge, therefore, is not to pit direct democracy against institutions, but to design institutions capable of ensuring that digital direct democracy is truly sovereign.</w:t>
      </w:r>
    </w:p>
    <w:p w14:paraId="32FA6828" w14:textId="77777777" w:rsidR="005A2244" w:rsidRPr="00871E74" w:rsidRDefault="00000000" w:rsidP="00DF14E0">
      <w:pPr>
        <w:keepNext/>
        <w:spacing w:after="20" w:line="360" w:lineRule="auto"/>
        <w:jc w:val="both"/>
        <w:rPr>
          <w:rFonts w:cs="Arial"/>
          <w:lang w:val="fr-BE"/>
        </w:rPr>
      </w:pPr>
      <w:proofErr w:type="spellStart"/>
      <w:r w:rsidRPr="00871E74">
        <w:rPr>
          <w:rFonts w:cs="Arial"/>
          <w:b/>
          <w:sz w:val="17"/>
          <w:lang w:val="fr-BE"/>
        </w:rPr>
        <w:t>References</w:t>
      </w:r>
      <w:proofErr w:type="spellEnd"/>
    </w:p>
    <w:p w14:paraId="4B7A98A7" w14:textId="77777777" w:rsidR="005A2244" w:rsidRDefault="00000000" w:rsidP="00DF14E0">
      <w:pPr>
        <w:spacing w:after="20" w:line="360" w:lineRule="auto"/>
        <w:jc w:val="both"/>
      </w:pPr>
      <w:r w:rsidRPr="00871E74">
        <w:rPr>
          <w:rFonts w:cs="Arial"/>
          <w:sz w:val="15"/>
          <w:lang w:val="fr-BE"/>
        </w:rPr>
        <w:t xml:space="preserve">Aragón, Pablo, et al. </w:t>
      </w:r>
      <w:r w:rsidRPr="00871E74">
        <w:rPr>
          <w:rFonts w:cs="Arial"/>
          <w:sz w:val="15"/>
          <w:lang w:val="en-US"/>
        </w:rPr>
        <w:t xml:space="preserve">“Deliberative Platform Design: The Case Study of the Online Discussions in </w:t>
      </w:r>
      <w:proofErr w:type="spellStart"/>
      <w:r w:rsidRPr="00871E74">
        <w:rPr>
          <w:rFonts w:cs="Arial"/>
          <w:sz w:val="15"/>
          <w:lang w:val="en-US"/>
        </w:rPr>
        <w:t>Decidim</w:t>
      </w:r>
      <w:proofErr w:type="spellEnd"/>
      <w:r w:rsidRPr="00871E74">
        <w:rPr>
          <w:rFonts w:cs="Arial"/>
          <w:sz w:val="15"/>
          <w:lang w:val="en-US"/>
        </w:rPr>
        <w:t xml:space="preserve"> Barcelona.” Social Informatics, 2017. Bratton, Benjamin H. The Stack: On Software and Sovereignty. </w:t>
      </w:r>
      <w:r w:rsidRPr="00871E74">
        <w:rPr>
          <w:rFonts w:cs="Arial"/>
          <w:sz w:val="15"/>
          <w:lang w:val="fr-BE"/>
        </w:rPr>
        <w:t xml:space="preserve">MIT </w:t>
      </w:r>
      <w:proofErr w:type="spellStart"/>
      <w:r w:rsidRPr="00871E74">
        <w:rPr>
          <w:rFonts w:cs="Arial"/>
          <w:sz w:val="15"/>
          <w:lang w:val="fr-BE"/>
        </w:rPr>
        <w:t>Press</w:t>
      </w:r>
      <w:proofErr w:type="spellEnd"/>
      <w:r w:rsidRPr="00871E74">
        <w:rPr>
          <w:rFonts w:cs="Arial"/>
          <w:sz w:val="15"/>
          <w:lang w:val="fr-BE"/>
        </w:rPr>
        <w:t xml:space="preserve">, 2015. Dardot, Pierre, et Christian Laval. Commun. Essai sur la révolution au XXIe siècle. </w:t>
      </w:r>
      <w:r w:rsidRPr="00871E74">
        <w:rPr>
          <w:rFonts w:cs="Arial"/>
          <w:sz w:val="15"/>
          <w:lang w:val="en-US"/>
        </w:rPr>
        <w:t xml:space="preserve">La </w:t>
      </w:r>
      <w:proofErr w:type="spellStart"/>
      <w:r w:rsidRPr="00871E74">
        <w:rPr>
          <w:rFonts w:cs="Arial"/>
          <w:sz w:val="15"/>
          <w:lang w:val="en-US"/>
        </w:rPr>
        <w:t>Découverte</w:t>
      </w:r>
      <w:proofErr w:type="spellEnd"/>
      <w:r w:rsidRPr="00871E74">
        <w:rPr>
          <w:rFonts w:cs="Arial"/>
          <w:sz w:val="15"/>
          <w:lang w:val="en-US"/>
        </w:rPr>
        <w:t xml:space="preserve">, 2014. </w:t>
      </w:r>
      <w:proofErr w:type="spellStart"/>
      <w:r w:rsidRPr="00871E74">
        <w:rPr>
          <w:rFonts w:cs="Arial"/>
          <w:sz w:val="15"/>
          <w:lang w:val="en-US"/>
        </w:rPr>
        <w:t>Dryzek</w:t>
      </w:r>
      <w:proofErr w:type="spellEnd"/>
      <w:r w:rsidRPr="00871E74">
        <w:rPr>
          <w:rFonts w:cs="Arial"/>
          <w:sz w:val="15"/>
          <w:lang w:val="en-US"/>
        </w:rPr>
        <w:t>, John S. Deliberative Democracy and Beyond: Liberals, Critics, Contestations. Oxford University Press, 2000. Fishkin, James S. When the People Speak: Deliberative Democracy and Public Consultation. Oxford University Press, 2009. Hoeksema, Bernd. “Digital Sovereignty, the Private Sector, and a Social Republican Alternative.” Digital Society, 2024. Hsiao, Yu-Tang, et al. “</w:t>
      </w:r>
      <w:proofErr w:type="spellStart"/>
      <w:r w:rsidRPr="00871E74">
        <w:rPr>
          <w:rFonts w:cs="Arial"/>
          <w:sz w:val="15"/>
          <w:lang w:val="en-US"/>
        </w:rPr>
        <w:t>vTaiwan</w:t>
      </w:r>
      <w:proofErr w:type="spellEnd"/>
      <w:r w:rsidRPr="00871E74">
        <w:rPr>
          <w:rFonts w:cs="Arial"/>
          <w:sz w:val="15"/>
          <w:lang w:val="en-US"/>
        </w:rPr>
        <w:t xml:space="preserve">: An Empirical Study of Open Consultation Process in Taiwan.” Taiwan: Center for Open Science, 2018. Lafont, Cristina. Democracy without Shortcuts: A Participatory Conception of Deliberative Democracy. Oxford University Press, 2020. </w:t>
      </w:r>
      <w:proofErr w:type="spellStart"/>
      <w:r w:rsidRPr="00871E74">
        <w:rPr>
          <w:rFonts w:cs="Arial"/>
          <w:sz w:val="15"/>
          <w:lang w:val="en-US"/>
        </w:rPr>
        <w:t>Landemore</w:t>
      </w:r>
      <w:proofErr w:type="spellEnd"/>
      <w:r w:rsidRPr="00871E74">
        <w:rPr>
          <w:rFonts w:cs="Arial"/>
          <w:sz w:val="15"/>
          <w:lang w:val="en-US"/>
        </w:rPr>
        <w:t xml:space="preserve">, Hélène. Open Democracy: Reinventing Popular Rule for the Twenty-First Century. Princeton University Press, 2020. McKinney, Sammy. “Integrating Artificial Intelligence into Citizens’ Assemblies: Benefits, Concerns and Future Pathways.” Journal of Deliberative Democracy, 2024 </w:t>
      </w:r>
      <w:proofErr w:type="spellStart"/>
      <w:r w:rsidRPr="00871E74">
        <w:rPr>
          <w:rFonts w:cs="Arial"/>
          <w:sz w:val="15"/>
          <w:lang w:val="en-US"/>
        </w:rPr>
        <w:t>Oleart</w:t>
      </w:r>
      <w:proofErr w:type="spellEnd"/>
      <w:r w:rsidRPr="00871E74">
        <w:rPr>
          <w:rFonts w:cs="Arial"/>
          <w:sz w:val="15"/>
          <w:lang w:val="en-US"/>
        </w:rPr>
        <w:t xml:space="preserve">, Alvaro, and Nicolás Palomo. “Why AI </w:t>
      </w:r>
      <w:proofErr w:type="spellStart"/>
      <w:r w:rsidRPr="00871E74">
        <w:rPr>
          <w:rFonts w:cs="Arial"/>
          <w:sz w:val="15"/>
          <w:lang w:val="en-US"/>
        </w:rPr>
        <w:t>Technosolutionism</w:t>
      </w:r>
      <w:proofErr w:type="spellEnd"/>
      <w:r w:rsidRPr="00871E74">
        <w:rPr>
          <w:rFonts w:cs="Arial"/>
          <w:sz w:val="15"/>
          <w:lang w:val="en-US"/>
        </w:rPr>
        <w:t xml:space="preserve"> Harms Democracy and Deliberation.” </w:t>
      </w:r>
      <w:r w:rsidRPr="00871E74">
        <w:rPr>
          <w:rFonts w:cs="Arial"/>
          <w:sz w:val="15"/>
          <w:lang w:val="fr-BE"/>
        </w:rPr>
        <w:t xml:space="preserve">Journal of </w:t>
      </w:r>
      <w:proofErr w:type="spellStart"/>
      <w:r w:rsidRPr="00871E74">
        <w:rPr>
          <w:rFonts w:cs="Arial"/>
          <w:sz w:val="15"/>
          <w:lang w:val="fr-BE"/>
        </w:rPr>
        <w:t>Deliberative</w:t>
      </w:r>
      <w:proofErr w:type="spellEnd"/>
      <w:r w:rsidRPr="00871E74">
        <w:rPr>
          <w:rFonts w:cs="Arial"/>
          <w:sz w:val="15"/>
          <w:lang w:val="fr-BE"/>
        </w:rPr>
        <w:t xml:space="preserve"> </w:t>
      </w:r>
      <w:proofErr w:type="spellStart"/>
      <w:r w:rsidRPr="00871E74">
        <w:rPr>
          <w:rFonts w:cs="Arial"/>
          <w:sz w:val="15"/>
          <w:lang w:val="fr-BE"/>
        </w:rPr>
        <w:t>Democracy</w:t>
      </w:r>
      <w:proofErr w:type="spellEnd"/>
      <w:r w:rsidRPr="00871E74">
        <w:rPr>
          <w:rFonts w:cs="Arial"/>
          <w:sz w:val="15"/>
          <w:lang w:val="fr-BE"/>
        </w:rPr>
        <w:t>, 2025. Rousseau, Jean-Jacques.</w:t>
      </w:r>
      <w:r w:rsidRPr="00871E74">
        <w:rPr>
          <w:sz w:val="15"/>
          <w:lang w:val="fr-BE"/>
        </w:rPr>
        <w:t xml:space="preserve"> Du contrat social. </w:t>
      </w:r>
      <w:r>
        <w:rPr>
          <w:sz w:val="15"/>
        </w:rPr>
        <w:t xml:space="preserve">GF </w:t>
      </w:r>
      <w:proofErr w:type="spellStart"/>
      <w:r>
        <w:rPr>
          <w:sz w:val="15"/>
        </w:rPr>
        <w:t>Flammarion</w:t>
      </w:r>
      <w:proofErr w:type="spellEnd"/>
      <w:r>
        <w:rPr>
          <w:sz w:val="15"/>
        </w:rPr>
        <w:t>, 2012.</w:t>
      </w:r>
    </w:p>
    <w:sectPr w:rsidR="005A2244">
      <w:pgSz w:w="11906" w:h="16838"/>
      <w:pgMar w:top="794" w:right="850" w:bottom="79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2DE7"/>
    <w:multiLevelType w:val="hybridMultilevel"/>
    <w:tmpl w:val="61A0CD3A"/>
    <w:lvl w:ilvl="0" w:tplc="C93489E8">
      <w:start w:val="1"/>
      <w:numFmt w:val="bullet"/>
      <w:lvlText w:val="●"/>
      <w:lvlJc w:val="left"/>
      <w:pPr>
        <w:ind w:left="720" w:hanging="360"/>
      </w:pPr>
    </w:lvl>
    <w:lvl w:ilvl="1" w:tplc="31A28C10">
      <w:start w:val="1"/>
      <w:numFmt w:val="bullet"/>
      <w:lvlText w:val="○"/>
      <w:lvlJc w:val="left"/>
      <w:pPr>
        <w:ind w:left="1440" w:hanging="360"/>
      </w:pPr>
    </w:lvl>
    <w:lvl w:ilvl="2" w:tplc="C8169852">
      <w:start w:val="1"/>
      <w:numFmt w:val="bullet"/>
      <w:lvlText w:val="■"/>
      <w:lvlJc w:val="left"/>
      <w:pPr>
        <w:ind w:left="2160" w:hanging="360"/>
      </w:pPr>
    </w:lvl>
    <w:lvl w:ilvl="3" w:tplc="323207F8">
      <w:start w:val="1"/>
      <w:numFmt w:val="bullet"/>
      <w:lvlText w:val="●"/>
      <w:lvlJc w:val="left"/>
      <w:pPr>
        <w:ind w:left="2880" w:hanging="360"/>
      </w:pPr>
    </w:lvl>
    <w:lvl w:ilvl="4" w:tplc="18B085C4">
      <w:start w:val="1"/>
      <w:numFmt w:val="bullet"/>
      <w:lvlText w:val="○"/>
      <w:lvlJc w:val="left"/>
      <w:pPr>
        <w:ind w:left="3600" w:hanging="360"/>
      </w:pPr>
    </w:lvl>
    <w:lvl w:ilvl="5" w:tplc="340E6062">
      <w:start w:val="1"/>
      <w:numFmt w:val="bullet"/>
      <w:lvlText w:val="■"/>
      <w:lvlJc w:val="left"/>
      <w:pPr>
        <w:ind w:left="4320" w:hanging="360"/>
      </w:pPr>
    </w:lvl>
    <w:lvl w:ilvl="6" w:tplc="2E7A5108">
      <w:start w:val="1"/>
      <w:numFmt w:val="bullet"/>
      <w:lvlText w:val="●"/>
      <w:lvlJc w:val="left"/>
      <w:pPr>
        <w:ind w:left="5040" w:hanging="360"/>
      </w:pPr>
    </w:lvl>
    <w:lvl w:ilvl="7" w:tplc="37842520">
      <w:start w:val="1"/>
      <w:numFmt w:val="bullet"/>
      <w:lvlText w:val="●"/>
      <w:lvlJc w:val="left"/>
      <w:pPr>
        <w:ind w:left="5760" w:hanging="360"/>
      </w:pPr>
    </w:lvl>
    <w:lvl w:ilvl="8" w:tplc="B3D8FFF0">
      <w:start w:val="1"/>
      <w:numFmt w:val="bullet"/>
      <w:lvlText w:val="●"/>
      <w:lvlJc w:val="left"/>
      <w:pPr>
        <w:ind w:left="6480" w:hanging="360"/>
      </w:pPr>
    </w:lvl>
  </w:abstractNum>
  <w:num w:numId="1" w16cid:durableId="5737796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D40"/>
    <w:rsid w:val="00115B38"/>
    <w:rsid w:val="0017651F"/>
    <w:rsid w:val="0025187C"/>
    <w:rsid w:val="00282907"/>
    <w:rsid w:val="002E0278"/>
    <w:rsid w:val="002F0F96"/>
    <w:rsid w:val="0036769F"/>
    <w:rsid w:val="00471E25"/>
    <w:rsid w:val="004B0BA5"/>
    <w:rsid w:val="004B2D40"/>
    <w:rsid w:val="004E424B"/>
    <w:rsid w:val="004E5FB3"/>
    <w:rsid w:val="004F208E"/>
    <w:rsid w:val="005A2244"/>
    <w:rsid w:val="005A7E6D"/>
    <w:rsid w:val="00603FFB"/>
    <w:rsid w:val="00775D17"/>
    <w:rsid w:val="00816846"/>
    <w:rsid w:val="00863F23"/>
    <w:rsid w:val="00871E74"/>
    <w:rsid w:val="008A73CF"/>
    <w:rsid w:val="008C1AB2"/>
    <w:rsid w:val="00A85CFF"/>
    <w:rsid w:val="00AA526A"/>
    <w:rsid w:val="00AF77D0"/>
    <w:rsid w:val="00C14936"/>
    <w:rsid w:val="00C6611F"/>
    <w:rsid w:val="00CA5AB4"/>
    <w:rsid w:val="00D10190"/>
    <w:rsid w:val="00DC7D2B"/>
    <w:rsid w:val="00DF14E0"/>
    <w:rsid w:val="00E265E6"/>
    <w:rsid w:val="00E565CA"/>
    <w:rsid w:val="00EC5D69"/>
    <w:rsid w:val="00EF72FE"/>
    <w:rsid w:val="00F37E3F"/>
    <w:rsid w:val="00F545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B919E"/>
  <w15:docId w15:val="{B3905975-A9F1-6B48-899C-2D37DBD9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9"/>
    </w:rPr>
  </w:style>
  <w:style w:type="paragraph" w:styleId="Heading1">
    <w:name w:val="heading 1"/>
    <w:uiPriority w:val="9"/>
    <w:qFormat/>
    <w:pPr>
      <w:outlineLvl w:val="0"/>
    </w:pPr>
    <w:rPr>
      <w:rFonts w:ascii="Arial" w:hAnsi="Arial"/>
      <w:b/>
      <w:color w:val="2E74B5"/>
      <w:sz w:val="26"/>
      <w:szCs w:val="32"/>
    </w:rPr>
  </w:style>
  <w:style w:type="paragraph" w:styleId="Heading2">
    <w:name w:val="heading 2"/>
    <w:uiPriority w:val="9"/>
    <w:semiHidden/>
    <w:unhideWhenUsed/>
    <w:qFormat/>
    <w:pPr>
      <w:outlineLvl w:val="1"/>
    </w:pPr>
    <w:rPr>
      <w:rFonts w:ascii="Arial" w:hAnsi="Arial"/>
      <w:b/>
      <w:color w:val="2E74B5"/>
      <w:sz w:val="23"/>
      <w:szCs w:val="26"/>
    </w:rPr>
  </w:style>
  <w:style w:type="paragraph" w:styleId="Heading3">
    <w:name w:val="heading 3"/>
    <w:uiPriority w:val="9"/>
    <w:semiHidden/>
    <w:unhideWhenUsed/>
    <w:qFormat/>
    <w:pPr>
      <w:outlineLvl w:val="2"/>
    </w:pPr>
    <w:rPr>
      <w:rFonts w:ascii="Arial" w:hAnsi="Arial"/>
      <w:b/>
      <w:color w:val="1F4D78"/>
      <w:sz w:val="21"/>
      <w:szCs w:val="24"/>
    </w:rPr>
  </w:style>
  <w:style w:type="paragraph" w:styleId="Heading4">
    <w:name w:val="heading 4"/>
    <w:uiPriority w:val="9"/>
    <w:semiHidden/>
    <w:unhideWhenUsed/>
    <w:qFormat/>
    <w:pPr>
      <w:outlineLvl w:val="3"/>
    </w:pPr>
    <w:rPr>
      <w:rFonts w:ascii="Arial" w:hAnsi="Arial"/>
      <w:i/>
      <w:iCs/>
      <w:color w:val="2E74B5"/>
    </w:rPr>
  </w:style>
  <w:style w:type="paragraph" w:styleId="Heading5">
    <w:name w:val="heading 5"/>
    <w:uiPriority w:val="9"/>
    <w:semiHidden/>
    <w:unhideWhenUsed/>
    <w:qFormat/>
    <w:pPr>
      <w:outlineLvl w:val="4"/>
    </w:pPr>
    <w:rPr>
      <w:rFonts w:ascii="Arial" w:hAnsi="Arial"/>
      <w:color w:val="2E74B5"/>
    </w:rPr>
  </w:style>
  <w:style w:type="paragraph" w:styleId="Heading6">
    <w:name w:val="heading 6"/>
    <w:uiPriority w:val="9"/>
    <w:semiHidden/>
    <w:unhideWhenUsed/>
    <w:qFormat/>
    <w:pPr>
      <w:outlineLvl w:val="5"/>
    </w:pPr>
    <w:rPr>
      <w:rFonts w:ascii="Arial" w:hAnsi="Arial"/>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rFonts w:ascii="Arial" w:hAnsi="Arial"/>
      <w:b/>
      <w:sz w:val="36"/>
      <w:szCs w:val="56"/>
    </w:rPr>
  </w:style>
  <w:style w:type="paragraph" w:customStyle="1" w:styleId="Zwaar1">
    <w:name w:val="Zwaar1"/>
    <w:qFormat/>
    <w:rPr>
      <w:rFonts w:ascii="Arial" w:hAnsi="Arial"/>
      <w:b/>
      <w:bCs/>
    </w:rPr>
  </w:style>
  <w:style w:type="paragraph" w:styleId="ListParagraph">
    <w:name w:val="List Paragraph"/>
    <w:qFormat/>
    <w:rPr>
      <w:rFonts w:ascii="Arial" w:hAnsi="Arial"/>
    </w:rPr>
  </w:style>
  <w:style w:type="character" w:styleId="Hyperlink">
    <w:name w:val="Hyperlink"/>
    <w:uiPriority w:val="99"/>
    <w:unhideWhenUsed/>
    <w:rPr>
      <w:rFonts w:ascii="Arial" w:hAnsi="Arial"/>
      <w:color w:val="0563C1"/>
      <w:u w:val="single"/>
    </w:rPr>
  </w:style>
  <w:style w:type="character" w:styleId="FootnoteReference">
    <w:name w:val="footnote reference"/>
    <w:uiPriority w:val="99"/>
    <w:semiHidden/>
    <w:unhideWhenUsed/>
    <w:rPr>
      <w:rFonts w:ascii="Arial" w:hAnsi="Arial"/>
      <w:vertAlign w:val="superscript"/>
    </w:rPr>
  </w:style>
  <w:style w:type="paragraph" w:styleId="FootnoteText">
    <w:name w:val="footnote text"/>
    <w:link w:val="FootnoteTextChar"/>
    <w:uiPriority w:val="99"/>
    <w:semiHidden/>
    <w:unhideWhenUsed/>
    <w:rPr>
      <w:rFonts w:ascii="Arial" w:hAnsi="Arial"/>
    </w:rPr>
  </w:style>
  <w:style w:type="character" w:customStyle="1" w:styleId="FootnoteTextChar">
    <w:name w:val="Footnote Text Char"/>
    <w:link w:val="FootnoteText"/>
    <w:uiPriority w:val="99"/>
    <w:semiHidden/>
    <w:unhideWhenUsed/>
    <w:rPr>
      <w:rFonts w:ascii="Arial" w:hAnsi="Arial"/>
      <w:sz w:val="20"/>
      <w:szCs w:val="20"/>
    </w:rPr>
  </w:style>
  <w:style w:type="character" w:styleId="EndnoteReference">
    <w:name w:val="endnote reference"/>
    <w:uiPriority w:val="99"/>
    <w:semiHidden/>
    <w:unhideWhenUsed/>
    <w:rPr>
      <w:rFonts w:ascii="Arial" w:hAnsi="Arial"/>
      <w:vertAlign w:val="superscript"/>
    </w:rPr>
  </w:style>
  <w:style w:type="paragraph" w:styleId="EndnoteText">
    <w:name w:val="endnote text"/>
    <w:link w:val="EndnoteTextChar"/>
    <w:uiPriority w:val="99"/>
    <w:semiHidden/>
    <w:unhideWhenUsed/>
    <w:rPr>
      <w:rFonts w:ascii="Arial" w:hAnsi="Arial"/>
    </w:rPr>
  </w:style>
  <w:style w:type="character" w:customStyle="1" w:styleId="EndnoteTextChar">
    <w:name w:val="Endnote Text Char"/>
    <w:link w:val="EndnoteText"/>
    <w:uiPriority w:val="99"/>
    <w:semiHidden/>
    <w:unhideWhenUsed/>
    <w:rPr>
      <w:rFonts w:ascii="Arial" w:hAnsi="Arial"/>
      <w:sz w:val="20"/>
      <w:szCs w:val="20"/>
    </w:rPr>
  </w:style>
  <w:style w:type="character" w:styleId="UnresolvedMention">
    <w:name w:val="Unresolved Mention"/>
    <w:basedOn w:val="DefaultParagraphFont"/>
    <w:uiPriority w:val="99"/>
    <w:semiHidden/>
    <w:unhideWhenUsed/>
    <w:rsid w:val="00CA5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etohernandez@esphil.eu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ur.nl/en/campus/locations/campus-woudestein/route-directions" TargetMode="External"/><Relationship Id="rId5" Type="http://schemas.openxmlformats.org/officeDocument/2006/relationships/hyperlink" Target="https://www.eur.nl/en/media/2026-07-bew230794campusplattegrondv6-de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853</TotalTime>
  <Pages>12</Pages>
  <Words>8454</Words>
  <Characters>48191</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Frederik Van De Putte</cp:lastModifiedBy>
  <cp:revision>23</cp:revision>
  <dcterms:created xsi:type="dcterms:W3CDTF">2026-09-16T09:40:00Z</dcterms:created>
  <dcterms:modified xsi:type="dcterms:W3CDTF">2026-09-23T12:45:00Z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2026-09-16T09:38:55Z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74481f9f-6485-452e-be14-cd838c6a8414</vt:lpwstr>
  </property>
  <property fmtid="{D5CDD505-2E9C-101B-9397-08002B2CF9AE}" pid="8" name="MSIP_Label_8772ba27-cab8-4042-a351-a31f6e4eacdc_ContentBits">
    <vt:lpwstr>0</vt:lpwstr>
  </property>
  <property fmtid="{D5CDD505-2E9C-101B-9397-08002B2CF9AE}" pid="9" name="MSIP_Label_8772ba27-cab8-4042-a351-a31f6e4eacdc_Tag">
    <vt:lpwstr>10, 3, 0, 1</vt:lpwstr>
  </property>
</Properties>
</file>